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60" w:lineRule="auto"/>
        <w:ind w:firstLine="1807" w:firstLineChars="600"/>
        <w:jc w:val="left"/>
        <w:rPr>
          <w:rFonts w:ascii="宋体" w:hAnsi="宋体"/>
          <w:b/>
          <w:sz w:val="30"/>
          <w:szCs w:val="30"/>
        </w:rPr>
      </w:pPr>
      <w:r>
        <w:rPr>
          <w:rFonts w:hint="eastAsia" w:ascii="宋体" w:hAnsi="宋体"/>
          <w:b/>
          <w:sz w:val="30"/>
          <w:szCs w:val="30"/>
        </w:rPr>
        <w:t xml:space="preserve">买卖合同书（门槛订单专用）     </w:t>
      </w:r>
      <w:r>
        <w:rPr>
          <w:rFonts w:hint="eastAsia" w:ascii="宋体" w:hAnsi="宋体"/>
          <w:b/>
          <w:szCs w:val="21"/>
        </w:rPr>
        <w:t xml:space="preserve"> 合同编号：</w:t>
      </w:r>
    </w:p>
    <w:p>
      <w:pPr>
        <w:spacing w:before="240" w:line="360" w:lineRule="auto"/>
        <w:jc w:val="left"/>
        <w:rPr>
          <w:rFonts w:ascii="宋体" w:hAnsi="宋体"/>
          <w:b/>
          <w:sz w:val="24"/>
          <w:szCs w:val="24"/>
        </w:rPr>
      </w:pPr>
      <w:r>
        <w:rPr>
          <w:rFonts w:hint="eastAsia" w:ascii="宋体" w:hAnsi="宋体"/>
          <w:b/>
          <w:sz w:val="24"/>
          <w:szCs w:val="24"/>
        </w:rPr>
        <w:t>经甲乙双方友好协商，特订立以下条款，以便共同遵守：</w:t>
      </w:r>
    </w:p>
    <w:p>
      <w:pPr>
        <w:spacing w:line="360" w:lineRule="auto"/>
        <w:rPr>
          <w:rFonts w:ascii="宋体" w:hAnsi="宋体"/>
          <w:b/>
          <w:sz w:val="24"/>
          <w:szCs w:val="24"/>
        </w:rPr>
      </w:pPr>
      <w:r>
        <w:rPr>
          <w:rFonts w:hint="eastAsia" w:ascii="宋体" w:hAnsi="宋体"/>
          <w:b/>
          <w:sz w:val="24"/>
          <w:szCs w:val="24"/>
        </w:rPr>
        <w:t>第一条</w:t>
      </w:r>
      <w:r>
        <w:rPr>
          <w:rFonts w:hint="eastAsia" w:ascii="宋体" w:hAnsi="宋体"/>
          <w:b/>
          <w:sz w:val="24"/>
          <w:szCs w:val="24"/>
          <w:lang w:val="en-US" w:eastAsia="zh-CN"/>
        </w:rPr>
        <w:t xml:space="preserve"> </w:t>
      </w:r>
      <w:r>
        <w:rPr>
          <w:rFonts w:hint="eastAsia" w:ascii="宋体" w:hAnsi="宋体"/>
          <w:b/>
          <w:sz w:val="24"/>
          <w:szCs w:val="24"/>
        </w:rPr>
        <w:t>产品的内容及成交价</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709"/>
        <w:gridCol w:w="1380"/>
        <w:gridCol w:w="1482"/>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标的物品名称及物料编码</w:t>
            </w:r>
          </w:p>
        </w:tc>
        <w:tc>
          <w:tcPr>
            <w:tcW w:w="709"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单位</w:t>
            </w:r>
          </w:p>
        </w:tc>
        <w:tc>
          <w:tcPr>
            <w:tcW w:w="1380"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数量</w:t>
            </w:r>
          </w:p>
        </w:tc>
        <w:tc>
          <w:tcPr>
            <w:tcW w:w="1482"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含税单价</w:t>
            </w:r>
          </w:p>
        </w:tc>
        <w:tc>
          <w:tcPr>
            <w:tcW w:w="2256"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含税金额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119"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单一型号BORUNTE产品</w:t>
            </w:r>
          </w:p>
        </w:tc>
        <w:tc>
          <w:tcPr>
            <w:tcW w:w="709" w:type="dxa"/>
            <w:vAlign w:val="center"/>
          </w:tcPr>
          <w:p>
            <w:pPr>
              <w:spacing w:line="360" w:lineRule="auto"/>
              <w:jc w:val="center"/>
              <w:rPr>
                <w:rFonts w:ascii="宋体" w:hAnsi="宋体" w:cs="宋体"/>
                <w:bCs/>
                <w:color w:val="auto"/>
                <w:sz w:val="24"/>
                <w:szCs w:val="24"/>
              </w:rPr>
            </w:pPr>
            <w:r>
              <w:rPr>
                <w:rFonts w:hint="eastAsia" w:ascii="宋体" w:hAnsi="宋体"/>
                <w:bCs/>
                <w:color w:val="auto"/>
                <w:sz w:val="24"/>
                <w:szCs w:val="24"/>
              </w:rPr>
              <w:t>台</w:t>
            </w:r>
          </w:p>
        </w:tc>
        <w:tc>
          <w:tcPr>
            <w:tcW w:w="1380" w:type="dxa"/>
            <w:vAlign w:val="center"/>
          </w:tcPr>
          <w:p>
            <w:pPr>
              <w:spacing w:line="360" w:lineRule="auto"/>
              <w:jc w:val="center"/>
              <w:rPr>
                <w:rFonts w:ascii="宋体" w:hAnsi="宋体" w:cs="宋体"/>
                <w:bCs/>
                <w:color w:val="auto"/>
                <w:sz w:val="24"/>
                <w:szCs w:val="24"/>
              </w:rPr>
            </w:pPr>
            <w:r>
              <w:rPr>
                <w:rFonts w:hint="eastAsia" w:ascii="宋体" w:hAnsi="宋体"/>
                <w:bCs/>
                <w:color w:val="auto"/>
                <w:sz w:val="24"/>
                <w:szCs w:val="24"/>
              </w:rPr>
              <w:t>1,000</w:t>
            </w:r>
          </w:p>
        </w:tc>
        <w:tc>
          <w:tcPr>
            <w:tcW w:w="1482"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xxx</w:t>
            </w:r>
          </w:p>
        </w:tc>
        <w:tc>
          <w:tcPr>
            <w:tcW w:w="2256"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gridSpan w:val="5"/>
          </w:tcPr>
          <w:p>
            <w:pPr>
              <w:spacing w:line="360" w:lineRule="auto"/>
              <w:ind w:firstLine="3840" w:firstLineChars="1600"/>
              <w:rPr>
                <w:rFonts w:ascii="宋体" w:hAnsi="宋体"/>
                <w:color w:val="auto"/>
                <w:sz w:val="24"/>
                <w:szCs w:val="24"/>
              </w:rPr>
            </w:pPr>
            <w:r>
              <w:rPr>
                <w:rFonts w:hint="eastAsia" w:ascii="宋体" w:hAnsi="宋体"/>
                <w:color w:val="auto"/>
                <w:sz w:val="24"/>
                <w:szCs w:val="24"/>
              </w:rPr>
              <w:t>大写金额：xxxxx元整</w:t>
            </w:r>
          </w:p>
        </w:tc>
      </w:tr>
    </w:tbl>
    <w:p>
      <w:pPr>
        <w:spacing w:line="360" w:lineRule="auto"/>
        <w:rPr>
          <w:rFonts w:ascii="宋体" w:hAnsi="宋体"/>
          <w:b/>
          <w:color w:val="auto"/>
          <w:sz w:val="24"/>
          <w:szCs w:val="24"/>
        </w:rPr>
      </w:pPr>
      <w:r>
        <w:rPr>
          <w:rFonts w:hint="eastAsia" w:ascii="宋体" w:hAnsi="宋体"/>
          <w:b/>
          <w:color w:val="auto"/>
          <w:sz w:val="24"/>
          <w:szCs w:val="24"/>
        </w:rPr>
        <w:t>第二条</w:t>
      </w:r>
      <w:r>
        <w:rPr>
          <w:rFonts w:hint="eastAsia" w:ascii="宋体" w:hAnsi="宋体"/>
          <w:b/>
          <w:color w:val="auto"/>
          <w:sz w:val="24"/>
          <w:szCs w:val="24"/>
          <w:lang w:val="en-US" w:eastAsia="zh-CN"/>
        </w:rPr>
        <w:t xml:space="preserve"> </w:t>
      </w:r>
      <w:r>
        <w:rPr>
          <w:rFonts w:hint="eastAsia" w:ascii="宋体" w:hAnsi="宋体"/>
          <w:b/>
          <w:color w:val="auto"/>
          <w:sz w:val="24"/>
          <w:szCs w:val="24"/>
        </w:rPr>
        <w:t>提货日期及地点</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提货日期：乙方应于本合同签订后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w:t>
      </w:r>
      <w:r>
        <w:rPr>
          <w:rFonts w:hint="eastAsia" w:ascii="宋体" w:hAnsi="宋体"/>
          <w:color w:val="auto"/>
          <w:sz w:val="24"/>
          <w:szCs w:val="24"/>
          <w:lang w:val="en-US" w:eastAsia="zh-CN"/>
        </w:rPr>
        <w:t>乙方分次付款后90个工作日内分批提货</w:t>
      </w:r>
      <w:r>
        <w:rPr>
          <w:rFonts w:hint="eastAsia" w:ascii="宋体" w:hAnsi="宋体"/>
          <w:color w:val="auto"/>
          <w:sz w:val="24"/>
          <w:szCs w:val="24"/>
        </w:rPr>
        <w:t>。</w:t>
      </w:r>
    </w:p>
    <w:p>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）乙方未于本合同签订后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个月内完成提货，而且乙方未于本合同签订后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个月内完成提货并非因甲方原因造成，则属乙方违约。</w:t>
      </w:r>
    </w:p>
    <w:p>
      <w:pPr>
        <w:pStyle w:val="30"/>
        <w:numPr>
          <w:ilvl w:val="-1"/>
          <w:numId w:val="0"/>
        </w:numPr>
        <w:spacing w:line="360" w:lineRule="auto"/>
        <w:ind w:left="0" w:firstLine="480" w:firstLineChars="200"/>
        <w:jc w:val="left"/>
        <w:rPr>
          <w:rFonts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除乙方提前向甲方发出提货需求的外，甲方有权主动提示/通知乙方提货；但是，乙方应于本合同签订后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个月内完成提货的责任不因甲方享有主动提示/通知乙方提货的权利而豁免。</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提货地点：甲方公司（东莞市大朗镇沙步村沙富路83号）。</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提货联络及通知：</w:t>
      </w:r>
    </w:p>
    <w:p>
      <w:pPr>
        <w:pStyle w:val="30"/>
        <w:numPr>
          <w:ilvl w:val="0"/>
          <w:numId w:val="4"/>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乙方应当指定专门的人员与甲方联络及通知提货事宜，乙方如变更指定人员或变更联系信息的，应当提前三日书面通知甲方，否则，由此造成的损失由乙方承担。</w:t>
      </w:r>
    </w:p>
    <w:p>
      <w:pPr>
        <w:pStyle w:val="30"/>
        <w:numPr>
          <w:ilvl w:val="0"/>
          <w:numId w:val="4"/>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乙方提货时，应向甲方出具提货授权委托书（扫描件与原件具有同等效力），明确授权提货的人员信息。</w:t>
      </w:r>
    </w:p>
    <w:p>
      <w:pPr>
        <w:pStyle w:val="30"/>
        <w:numPr>
          <w:ilvl w:val="0"/>
          <w:numId w:val="4"/>
        </w:numPr>
        <w:spacing w:line="360" w:lineRule="auto"/>
        <w:ind w:left="0" w:firstLine="567" w:firstLineChars="0"/>
        <w:jc w:val="left"/>
        <w:rPr>
          <w:rFonts w:ascii="宋体" w:hAnsi="宋体"/>
          <w:b/>
          <w:color w:val="auto"/>
          <w:sz w:val="24"/>
          <w:szCs w:val="24"/>
        </w:rPr>
      </w:pPr>
      <w:r>
        <w:rPr>
          <w:rFonts w:hint="eastAsia" w:ascii="宋体" w:hAnsi="宋体"/>
          <w:color w:val="auto"/>
          <w:sz w:val="24"/>
          <w:szCs w:val="24"/>
        </w:rPr>
        <w:t>如因甲方原因导致未在</w:t>
      </w:r>
      <w:r>
        <w:rPr>
          <w:rFonts w:hint="eastAsia" w:ascii="宋体" w:hAnsi="宋体"/>
          <w:color w:val="auto"/>
          <w:sz w:val="24"/>
          <w:szCs w:val="24"/>
          <w:lang w:val="en-US" w:eastAsia="zh-CN"/>
        </w:rPr>
        <w:t>120</w:t>
      </w:r>
      <w:r>
        <w:rPr>
          <w:rFonts w:hint="eastAsia" w:ascii="宋体" w:hAnsi="宋体"/>
          <w:color w:val="auto"/>
          <w:sz w:val="24"/>
          <w:szCs w:val="24"/>
        </w:rPr>
        <w:t>个月内提货完成的，视为甲方违约。如因乙方原因未在</w:t>
      </w:r>
      <w:r>
        <w:rPr>
          <w:rFonts w:hint="eastAsia" w:ascii="宋体" w:hAnsi="宋体"/>
          <w:color w:val="auto"/>
          <w:sz w:val="24"/>
          <w:szCs w:val="24"/>
          <w:lang w:val="en-US" w:eastAsia="zh-CN"/>
        </w:rPr>
        <w:t>120</w:t>
      </w:r>
      <w:r>
        <w:rPr>
          <w:rFonts w:hint="eastAsia" w:ascii="宋体" w:hAnsi="宋体"/>
          <w:color w:val="auto"/>
          <w:sz w:val="24"/>
          <w:szCs w:val="24"/>
        </w:rPr>
        <w:t>月内提货完成的，视为乙方违约。</w:t>
      </w:r>
    </w:p>
    <w:p>
      <w:pPr>
        <w:spacing w:line="360" w:lineRule="auto"/>
        <w:jc w:val="left"/>
        <w:rPr>
          <w:rFonts w:ascii="宋体" w:hAnsi="宋体"/>
          <w:b/>
          <w:color w:val="auto"/>
          <w:sz w:val="24"/>
          <w:szCs w:val="24"/>
        </w:rPr>
      </w:pPr>
      <w:r>
        <w:rPr>
          <w:rFonts w:hint="eastAsia" w:ascii="宋体" w:hAnsi="宋体"/>
          <w:b/>
          <w:color w:val="auto"/>
          <w:sz w:val="24"/>
          <w:szCs w:val="24"/>
        </w:rPr>
        <w:t>第三条</w:t>
      </w:r>
      <w:r>
        <w:rPr>
          <w:rFonts w:hint="eastAsia" w:ascii="宋体" w:hAnsi="宋体"/>
          <w:b/>
          <w:color w:val="auto"/>
          <w:sz w:val="24"/>
          <w:szCs w:val="24"/>
          <w:lang w:val="en-US" w:eastAsia="zh-CN"/>
        </w:rPr>
        <w:t xml:space="preserve"> </w:t>
      </w:r>
      <w:r>
        <w:rPr>
          <w:rFonts w:hint="eastAsia" w:ascii="宋体" w:hAnsi="宋体"/>
          <w:b/>
          <w:color w:val="auto"/>
          <w:sz w:val="24"/>
          <w:szCs w:val="24"/>
        </w:rPr>
        <w:t>交付与验收</w:t>
      </w:r>
    </w:p>
    <w:p>
      <w:pPr>
        <w:pStyle w:val="30"/>
        <w:numPr>
          <w:ilvl w:val="0"/>
          <w:numId w:val="5"/>
        </w:numPr>
        <w:spacing w:line="360" w:lineRule="auto"/>
        <w:ind w:left="426" w:hanging="426" w:firstLineChars="0"/>
        <w:rPr>
          <w:rFonts w:ascii="宋体" w:hAnsi="宋体"/>
          <w:color w:val="auto"/>
          <w:sz w:val="24"/>
          <w:szCs w:val="24"/>
        </w:rPr>
      </w:pPr>
      <w:r>
        <w:rPr>
          <w:rFonts w:hint="eastAsia" w:ascii="宋体" w:hAnsi="宋体"/>
          <w:color w:val="auto"/>
          <w:sz w:val="24"/>
          <w:szCs w:val="24"/>
        </w:rPr>
        <w:t>由乙方出具提货授权委托书（扫描的委托书与原件具有同等效力）委托相关人员到甲方提货地点进行提货，提货时甲方将货物交付给乙方委托人员，乙方委托人员核验无误后在甲方</w:t>
      </w:r>
      <w:r>
        <w:rPr>
          <w:rFonts w:hint="eastAsia" w:ascii="宋体" w:hAnsi="宋体"/>
          <w:color w:val="auto"/>
          <w:sz w:val="24"/>
          <w:szCs w:val="24"/>
          <w:lang w:val="en-US" w:eastAsia="zh-CN"/>
        </w:rPr>
        <w:t>发</w:t>
      </w:r>
      <w:r>
        <w:rPr>
          <w:rFonts w:hint="eastAsia" w:ascii="宋体" w:hAnsi="宋体"/>
          <w:color w:val="auto"/>
          <w:sz w:val="24"/>
          <w:szCs w:val="24"/>
        </w:rPr>
        <w:t>货单上签字确认，即视为甲方已将货物交付给乙方，乙方同时已完成货物接收并对货物验收合格。</w:t>
      </w:r>
    </w:p>
    <w:p>
      <w:pPr>
        <w:pStyle w:val="30"/>
        <w:numPr>
          <w:ilvl w:val="0"/>
          <w:numId w:val="5"/>
        </w:numPr>
        <w:spacing w:line="360" w:lineRule="auto"/>
        <w:ind w:left="426" w:hanging="426" w:firstLineChars="0"/>
        <w:rPr>
          <w:rFonts w:ascii="宋体" w:hAnsi="宋体"/>
          <w:color w:val="auto"/>
          <w:sz w:val="24"/>
          <w:szCs w:val="24"/>
        </w:rPr>
      </w:pPr>
      <w:r>
        <w:rPr>
          <w:rFonts w:hint="eastAsia" w:ascii="宋体" w:hAnsi="宋体"/>
          <w:color w:val="auto"/>
          <w:sz w:val="24"/>
          <w:szCs w:val="24"/>
        </w:rPr>
        <w:t>产品不含安装调试、加高座，甲方不负责木箱及外包装，不负责运输</w:t>
      </w:r>
      <w:r>
        <w:rPr>
          <w:rFonts w:hint="eastAsia" w:ascii="宋体" w:hAnsi="宋体"/>
          <w:color w:val="auto"/>
          <w:sz w:val="24"/>
          <w:szCs w:val="24"/>
          <w:lang w:eastAsia="zh-CN"/>
        </w:rPr>
        <w:t>；</w:t>
      </w:r>
      <w:r>
        <w:rPr>
          <w:rFonts w:hint="eastAsia" w:ascii="宋体" w:hAnsi="宋体"/>
          <w:color w:val="auto"/>
          <w:sz w:val="24"/>
          <w:szCs w:val="24"/>
        </w:rPr>
        <w:t>产品免费提供在线技术咨询，线下售后服务需另行收取费用。</w:t>
      </w:r>
    </w:p>
    <w:p>
      <w:pPr>
        <w:spacing w:line="360" w:lineRule="auto"/>
        <w:rPr>
          <w:rFonts w:ascii="宋体" w:hAnsi="宋体"/>
          <w:b/>
          <w:color w:val="auto"/>
          <w:sz w:val="24"/>
          <w:szCs w:val="24"/>
        </w:rPr>
      </w:pPr>
      <w:r>
        <w:rPr>
          <w:rFonts w:hint="eastAsia" w:ascii="宋体" w:hAnsi="宋体"/>
          <w:b/>
          <w:color w:val="auto"/>
          <w:sz w:val="24"/>
          <w:szCs w:val="24"/>
        </w:rPr>
        <w:t>第四条</w:t>
      </w:r>
      <w:r>
        <w:rPr>
          <w:rFonts w:hint="eastAsia" w:ascii="宋体" w:hAnsi="宋体"/>
          <w:b/>
          <w:color w:val="auto"/>
          <w:sz w:val="24"/>
          <w:szCs w:val="24"/>
          <w:lang w:val="en-US" w:eastAsia="zh-CN"/>
        </w:rPr>
        <w:t xml:space="preserve"> </w:t>
      </w:r>
      <w:r>
        <w:rPr>
          <w:rFonts w:hint="eastAsia" w:ascii="宋体" w:hAnsi="宋体"/>
          <w:b/>
          <w:color w:val="auto"/>
          <w:sz w:val="24"/>
          <w:szCs w:val="24"/>
        </w:rPr>
        <w:t>保修</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甲方产品以机身铭牌编号和出厂日期为依据，保修期12个月。</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申请保修须提供机台全身照片，机身铭牌照片，不符合以上条件的，不能享受保修服务。乙方更换或遮挡甲方的LOGO、更换铭牌、改变了机身结构和外观颜色的，改变了控制系统、改变了开机操作界面或者改变了电气结构等擅自更改的情况，甲方都无需再承担保修责任。</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主要零部件在保修期内正常使用（非人为损坏或不当操作或不可抗力的自然灾害）发生故障，乙方需经甲方确认后寄回配件到甲方或甲方指定地点。如乙方未能及时退回旧件，甲方按购买新零部件处理，乙方承担由此产生的费用（包括购买零部件费用、甲方由此产生的人工费用及快递、运输费及其他等费用）。</w:t>
      </w:r>
    </w:p>
    <w:p>
      <w:pPr>
        <w:spacing w:line="360" w:lineRule="auto"/>
        <w:rPr>
          <w:rFonts w:ascii="宋体" w:hAnsi="宋体"/>
          <w:color w:val="auto"/>
          <w:sz w:val="24"/>
          <w:szCs w:val="24"/>
        </w:rPr>
      </w:pPr>
      <w:r>
        <w:rPr>
          <w:rFonts w:hint="eastAsia" w:ascii="宋体" w:hAnsi="宋体"/>
          <w:b/>
          <w:color w:val="auto"/>
          <w:sz w:val="24"/>
          <w:szCs w:val="24"/>
        </w:rPr>
        <w:t>第五条</w:t>
      </w:r>
      <w:r>
        <w:rPr>
          <w:rFonts w:hint="eastAsia" w:ascii="宋体" w:hAnsi="宋体"/>
          <w:b/>
          <w:color w:val="auto"/>
          <w:sz w:val="24"/>
          <w:szCs w:val="24"/>
          <w:lang w:val="en-US" w:eastAsia="zh-CN"/>
        </w:rPr>
        <w:t xml:space="preserve"> </w:t>
      </w:r>
      <w:r>
        <w:rPr>
          <w:rFonts w:hint="eastAsia" w:ascii="宋体" w:hAnsi="宋体"/>
          <w:b/>
          <w:color w:val="auto"/>
          <w:sz w:val="24"/>
          <w:szCs w:val="24"/>
        </w:rPr>
        <w:t>货款的支付及增值税发票</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结算方式：甲方在收款后</w:t>
      </w:r>
      <w:r>
        <w:rPr>
          <w:rFonts w:ascii="宋体" w:hAnsi="宋体"/>
          <w:color w:val="auto"/>
          <w:sz w:val="24"/>
          <w:szCs w:val="24"/>
        </w:rPr>
        <w:t>90</w:t>
      </w:r>
      <w:r>
        <w:rPr>
          <w:rFonts w:hint="eastAsia" w:ascii="宋体" w:hAnsi="宋体"/>
          <w:color w:val="auto"/>
          <w:sz w:val="24"/>
          <w:szCs w:val="24"/>
        </w:rPr>
        <w:t>个工作日内出货</w:t>
      </w:r>
      <w:r>
        <w:rPr>
          <w:rFonts w:hint="eastAsia" w:ascii="宋体" w:hAnsi="宋体"/>
          <w:color w:val="auto"/>
          <w:sz w:val="24"/>
          <w:szCs w:val="24"/>
          <w:lang w:eastAsia="zh-CN"/>
        </w:rPr>
        <w:t>，</w:t>
      </w:r>
      <w:r>
        <w:rPr>
          <w:rFonts w:hint="eastAsia" w:ascii="宋体" w:hAnsi="宋体"/>
          <w:color w:val="auto"/>
          <w:sz w:val="24"/>
          <w:szCs w:val="24"/>
          <w:lang w:val="en-US" w:eastAsia="zh-CN"/>
        </w:rPr>
        <w:t>乙方应当在120个月内支付完本合同约定的全部货款。</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收款方式：银行转账。收款账号如下：</w:t>
      </w:r>
    </w:p>
    <w:p>
      <w:pPr>
        <w:spacing w:line="360" w:lineRule="auto"/>
        <w:ind w:firstLine="480" w:firstLineChars="200"/>
        <w:rPr>
          <w:rFonts w:ascii="宋体" w:hAnsi="宋体"/>
          <w:color w:val="auto"/>
          <w:sz w:val="24"/>
          <w:szCs w:val="24"/>
        </w:rPr>
      </w:pPr>
      <w:r>
        <w:rPr>
          <w:rFonts w:hint="eastAsia" w:ascii="宋体" w:hAnsi="宋体"/>
          <w:color w:val="auto"/>
          <w:sz w:val="24"/>
          <w:szCs w:val="24"/>
        </w:rPr>
        <w:t>公司名称：伯朗特机器人股份有限公司</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480" w:firstLineChars="200"/>
        <w:jc w:val="left"/>
        <w:rPr>
          <w:rFonts w:hint="default"/>
          <w:i w:val="0"/>
          <w:iCs w:val="0"/>
          <w:caps w:val="0"/>
          <w:color w:val="333333"/>
          <w:spacing w:val="0"/>
          <w:sz w:val="21"/>
          <w:szCs w:val="21"/>
          <w:shd w:val="clear" w:fill="FFFFFF"/>
          <w:lang w:val="en-US"/>
        </w:rPr>
      </w:pPr>
      <w:r>
        <w:rPr>
          <w:rFonts w:hint="eastAsia" w:ascii="宋体" w:hAnsi="宋体"/>
          <w:color w:val="auto"/>
          <w:sz w:val="24"/>
          <w:szCs w:val="24"/>
        </w:rPr>
        <w:t>开户银行/银行账号：</w:t>
      </w:r>
      <w:r>
        <w:rPr>
          <w:rFonts w:hint="eastAsia"/>
          <w:i w:val="0"/>
          <w:iCs w:val="0"/>
          <w:caps w:val="0"/>
          <w:color w:val="333333"/>
          <w:spacing w:val="0"/>
          <w:sz w:val="21"/>
          <w:szCs w:val="21"/>
          <w:shd w:val="clear" w:fill="FFFFFF"/>
        </w:rPr>
        <w:t>招商银行东莞分行东莞大朗支行</w:t>
      </w:r>
      <w:r>
        <w:rPr>
          <w:rFonts w:hint="eastAsia"/>
          <w:i w:val="0"/>
          <w:iCs w:val="0"/>
          <w:caps w:val="0"/>
          <w:color w:val="333333"/>
          <w:spacing w:val="0"/>
          <w:sz w:val="21"/>
          <w:szCs w:val="21"/>
          <w:shd w:val="clear" w:fill="FFFFFF"/>
          <w:lang w:val="en-US" w:eastAsia="zh-CN"/>
        </w:rPr>
        <w:t xml:space="preserve">/769903830310118 </w:t>
      </w:r>
    </w:p>
    <w:p>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或公司另行提供的公司其他账户。</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发票:</w:t>
      </w:r>
      <w:r>
        <w:rPr>
          <w:rFonts w:hint="eastAsia" w:ascii="宋体" w:hAnsi="宋体"/>
          <w:color w:val="auto"/>
          <w:sz w:val="24"/>
          <w:szCs w:val="24"/>
          <w:lang w:val="en-US" w:eastAsia="zh-CN"/>
        </w:rPr>
        <w:t xml:space="preserve"> </w:t>
      </w:r>
      <w:r>
        <w:rPr>
          <w:rFonts w:hint="eastAsia" w:ascii="宋体" w:hAnsi="宋体"/>
          <w:color w:val="auto"/>
          <w:sz w:val="24"/>
          <w:szCs w:val="24"/>
        </w:rPr>
        <w:t>甲方于出货当月向乙方开具增值税发票。</w:t>
      </w:r>
    </w:p>
    <w:p>
      <w:pPr>
        <w:spacing w:line="240" w:lineRule="atLeast"/>
        <w:rPr>
          <w:rFonts w:ascii="宋体" w:hAnsi="宋体"/>
          <w:b/>
          <w:color w:val="auto"/>
          <w:sz w:val="24"/>
          <w:szCs w:val="24"/>
        </w:rPr>
      </w:pPr>
      <w:r>
        <w:rPr>
          <w:rFonts w:hint="eastAsia" w:ascii="宋体" w:hAnsi="宋体"/>
          <w:b/>
          <w:color w:val="auto"/>
          <w:sz w:val="24"/>
          <w:szCs w:val="24"/>
        </w:rPr>
        <w:t>第六条</w:t>
      </w:r>
      <w:r>
        <w:rPr>
          <w:rFonts w:hint="eastAsia" w:ascii="宋体" w:hAnsi="宋体"/>
          <w:b/>
          <w:color w:val="auto"/>
          <w:sz w:val="24"/>
          <w:szCs w:val="24"/>
          <w:lang w:val="en-US" w:eastAsia="zh-CN"/>
        </w:rPr>
        <w:t xml:space="preserve"> </w:t>
      </w:r>
      <w:r>
        <w:rPr>
          <w:rFonts w:hint="eastAsia" w:ascii="宋体" w:hAnsi="宋体"/>
          <w:b/>
          <w:color w:val="auto"/>
          <w:sz w:val="24"/>
          <w:szCs w:val="24"/>
        </w:rPr>
        <w:t>违约责任</w:t>
      </w:r>
    </w:p>
    <w:p>
      <w:pPr>
        <w:pStyle w:val="30"/>
        <w:numPr>
          <w:ilvl w:val="0"/>
          <w:numId w:val="8"/>
        </w:numPr>
        <w:spacing w:line="360" w:lineRule="auto"/>
        <w:ind w:firstLineChars="0"/>
        <w:rPr>
          <w:rFonts w:ascii="宋体" w:hAnsi="宋体"/>
          <w:color w:val="auto"/>
          <w:sz w:val="24"/>
          <w:szCs w:val="24"/>
        </w:rPr>
      </w:pPr>
      <w:r>
        <w:rPr>
          <w:rFonts w:hint="eastAsia" w:ascii="宋体" w:hAnsi="宋体"/>
          <w:color w:val="auto"/>
          <w:sz w:val="24"/>
          <w:szCs w:val="24"/>
        </w:rPr>
        <w:t>有关交期的违约责任：</w:t>
      </w:r>
    </w:p>
    <w:p>
      <w:pPr>
        <w:pStyle w:val="30"/>
        <w:numPr>
          <w:ilvl w:val="0"/>
          <w:numId w:val="9"/>
        </w:numPr>
        <w:spacing w:line="360" w:lineRule="auto"/>
        <w:ind w:firstLineChars="0"/>
        <w:jc w:val="left"/>
        <w:rPr>
          <w:rFonts w:ascii="宋体" w:hAnsi="宋体"/>
          <w:color w:val="auto"/>
          <w:sz w:val="24"/>
          <w:szCs w:val="24"/>
        </w:rPr>
      </w:pPr>
      <w:r>
        <w:rPr>
          <w:rFonts w:hint="eastAsia" w:ascii="宋体" w:hAnsi="宋体"/>
          <w:color w:val="auto"/>
          <w:sz w:val="24"/>
          <w:szCs w:val="24"/>
        </w:rPr>
        <w:t>交期已到，若因甲方的原因导致无法向乙方交货超过7天的，从第8天起乙方有权要求甲方针对逾期交货台数按每天50元/台向乙方支付违约金。</w:t>
      </w:r>
    </w:p>
    <w:p>
      <w:pPr>
        <w:pStyle w:val="30"/>
        <w:numPr>
          <w:ilvl w:val="0"/>
          <w:numId w:val="9"/>
        </w:numPr>
        <w:spacing w:line="360" w:lineRule="auto"/>
        <w:ind w:firstLineChars="0"/>
        <w:jc w:val="left"/>
        <w:rPr>
          <w:rFonts w:ascii="宋体" w:hAnsi="宋体"/>
          <w:color w:val="auto"/>
          <w:sz w:val="24"/>
          <w:szCs w:val="24"/>
        </w:rPr>
      </w:pPr>
      <w:r>
        <w:rPr>
          <w:rFonts w:hint="eastAsia" w:ascii="宋体" w:hAnsi="宋体"/>
          <w:color w:val="auto"/>
          <w:sz w:val="24"/>
          <w:szCs w:val="24"/>
        </w:rPr>
        <w:t>交期已到，若因乙方</w:t>
      </w:r>
      <w:r>
        <w:rPr>
          <w:rFonts w:hint="eastAsia" w:ascii="宋体" w:hAnsi="宋体"/>
          <w:color w:val="auto"/>
          <w:sz w:val="24"/>
          <w:szCs w:val="24"/>
          <w:lang w:val="en-US" w:eastAsia="zh-CN"/>
        </w:rPr>
        <w:t>未付款或者未提货</w:t>
      </w:r>
      <w:r>
        <w:rPr>
          <w:rFonts w:hint="eastAsia" w:ascii="宋体" w:hAnsi="宋体"/>
          <w:color w:val="auto"/>
          <w:sz w:val="24"/>
          <w:szCs w:val="24"/>
        </w:rPr>
        <w:t>的原因超过7天不能如期提货时，从第8天起甲方有权要求乙方针对逾期交货台数按每天50元/台向甲方支付违约金，如由于乙方的原因超过30天仍未提货，除继续支付每台每天50元违约金外，乙方同意按逾期提货机台合计金额的百分之三十向甲方支付违约金。</w:t>
      </w:r>
    </w:p>
    <w:p>
      <w:pPr>
        <w:pStyle w:val="30"/>
        <w:numPr>
          <w:ilvl w:val="0"/>
          <w:numId w:val="8"/>
        </w:numPr>
        <w:spacing w:line="360" w:lineRule="auto"/>
        <w:ind w:firstLineChars="0"/>
        <w:rPr>
          <w:rFonts w:ascii="宋体" w:hAnsi="宋体"/>
          <w:color w:val="auto"/>
          <w:sz w:val="24"/>
          <w:szCs w:val="24"/>
        </w:rPr>
      </w:pPr>
      <w:r>
        <w:rPr>
          <w:rFonts w:hint="eastAsia" w:ascii="宋体" w:hAnsi="宋体"/>
          <w:color w:val="auto"/>
          <w:sz w:val="24"/>
          <w:szCs w:val="24"/>
        </w:rPr>
        <w:t>除上述违约责任外，违约方违反法定或本合同约定之义务，给守约方造成其他损失的，违约方应承担守约方的全部损失，包括但不限于违约方应承担的违约金额、利息以及诉讼费、律师费用、公证费用、执行费用、抵押物处置费、过户费、调查鉴定费、保全费、保险费、担保费、差旅费以及其他相关损失。</w:t>
      </w:r>
    </w:p>
    <w:p>
      <w:pPr>
        <w:spacing w:line="240" w:lineRule="atLeast"/>
        <w:rPr>
          <w:rFonts w:ascii="宋体" w:hAnsi="宋体"/>
          <w:b/>
          <w:color w:val="auto"/>
          <w:sz w:val="24"/>
          <w:szCs w:val="24"/>
        </w:rPr>
      </w:pPr>
      <w:r>
        <w:rPr>
          <w:rFonts w:hint="eastAsia" w:ascii="宋体" w:hAnsi="宋体"/>
          <w:b/>
          <w:color w:val="auto"/>
          <w:sz w:val="24"/>
          <w:szCs w:val="24"/>
        </w:rPr>
        <w:t>第七条 伯朗特应用商资格</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伯朗特应用商资格取得：本合同生效时，即取得伯朗特应用商资格</w:t>
      </w:r>
      <w:r>
        <w:rPr>
          <w:rFonts w:hint="eastAsia" w:ascii="宋体" w:hAnsi="宋体"/>
          <w:color w:val="auto"/>
          <w:sz w:val="24"/>
          <w:szCs w:val="24"/>
          <w:lang w:val="en-US" w:eastAsia="zh-CN"/>
        </w:rPr>
        <w:t>且有效期至长期</w:t>
      </w:r>
      <w:r>
        <w:rPr>
          <w:rFonts w:hint="eastAsia" w:ascii="宋体" w:hAnsi="宋体"/>
          <w:color w:val="auto"/>
          <w:sz w:val="24"/>
          <w:szCs w:val="24"/>
        </w:rPr>
        <w:t>。</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应用商的权利：</w:t>
      </w:r>
    </w:p>
    <w:p>
      <w:pPr>
        <w:pStyle w:val="30"/>
        <w:numPr>
          <w:ilvl w:val="0"/>
          <w:numId w:val="11"/>
        </w:numPr>
        <w:spacing w:line="360" w:lineRule="auto"/>
        <w:ind w:left="0" w:firstLine="0" w:firstLineChars="0"/>
        <w:jc w:val="left"/>
        <w:rPr>
          <w:rFonts w:hint="eastAsia" w:ascii="宋体" w:hAnsi="宋体"/>
          <w:color w:val="auto"/>
          <w:sz w:val="24"/>
          <w:szCs w:val="24"/>
        </w:rPr>
      </w:pPr>
      <w:r>
        <w:rPr>
          <w:rFonts w:hint="eastAsia" w:ascii="宋体" w:hAnsi="宋体"/>
          <w:color w:val="auto"/>
          <w:sz w:val="24"/>
          <w:szCs w:val="24"/>
          <w:lang w:val="en-US" w:eastAsia="zh-CN"/>
        </w:rPr>
        <w:t>应用商付款即享受50%返点</w:t>
      </w:r>
      <w:r>
        <w:rPr>
          <w:rFonts w:hint="eastAsia" w:ascii="宋体" w:hAnsi="宋体"/>
          <w:color w:val="auto"/>
          <w:sz w:val="24"/>
          <w:szCs w:val="24"/>
          <w:lang w:eastAsia="zh-CN"/>
        </w:rPr>
        <w:t>。</w:t>
      </w:r>
    </w:p>
    <w:p>
      <w:pPr>
        <w:pStyle w:val="30"/>
        <w:numPr>
          <w:ilvl w:val="0"/>
          <w:numId w:val="11"/>
        </w:numPr>
        <w:spacing w:line="360" w:lineRule="auto"/>
        <w:ind w:left="0" w:firstLine="0" w:firstLineChars="0"/>
        <w:jc w:val="left"/>
        <w:rPr>
          <w:rFonts w:hint="eastAsia" w:ascii="宋体" w:hAnsi="宋体"/>
          <w:color w:val="auto"/>
          <w:sz w:val="24"/>
          <w:szCs w:val="24"/>
        </w:rPr>
      </w:pPr>
      <w:r>
        <w:rPr>
          <w:rFonts w:hint="eastAsia" w:ascii="宋体" w:hAnsi="宋体"/>
          <w:color w:val="auto"/>
          <w:sz w:val="24"/>
          <w:szCs w:val="24"/>
        </w:rPr>
        <w:t>返点需通过与甲方新签下一个合同的方式享有和使用，新签合同折扣前总金额需为新签合同中返点金额的2倍或2倍以上（详见甲方于签订合同期间适用的返点制度）</w:t>
      </w:r>
      <w:r>
        <w:rPr>
          <w:rFonts w:hint="eastAsia" w:ascii="宋体" w:hAnsi="宋体"/>
          <w:color w:val="auto"/>
          <w:sz w:val="24"/>
          <w:szCs w:val="24"/>
          <w:lang w:eastAsia="zh-CN"/>
        </w:rPr>
        <w:t>。</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应用商的义务：</w:t>
      </w:r>
    </w:p>
    <w:p>
      <w:pPr>
        <w:pStyle w:val="30"/>
        <w:numPr>
          <w:ilvl w:val="0"/>
          <w:numId w:val="12"/>
        </w:numPr>
        <w:spacing w:line="360" w:lineRule="auto"/>
        <w:ind w:left="360" w:firstLine="0" w:firstLineChars="0"/>
        <w:jc w:val="left"/>
        <w:rPr>
          <w:rFonts w:ascii="宋体" w:hAnsi="宋体"/>
          <w:color w:val="auto"/>
          <w:sz w:val="24"/>
          <w:szCs w:val="24"/>
        </w:rPr>
      </w:pPr>
      <w:r>
        <w:rPr>
          <w:rFonts w:hint="eastAsia" w:ascii="宋体" w:hAnsi="宋体"/>
          <w:color w:val="auto"/>
          <w:sz w:val="24"/>
          <w:szCs w:val="24"/>
        </w:rPr>
        <w:t>按本合同约定准时付款及提货；</w:t>
      </w:r>
    </w:p>
    <w:p>
      <w:pPr>
        <w:pStyle w:val="30"/>
        <w:numPr>
          <w:ilvl w:val="-1"/>
          <w:numId w:val="0"/>
        </w:numPr>
        <w:spacing w:line="360" w:lineRule="auto"/>
        <w:ind w:left="360" w:firstLine="0" w:firstLineChars="0"/>
        <w:jc w:val="left"/>
        <w:rPr>
          <w:rFonts w:ascii="宋体" w:hAnsi="宋体"/>
          <w:color w:val="auto"/>
          <w:sz w:val="24"/>
          <w:szCs w:val="24"/>
        </w:rPr>
      </w:pPr>
      <w:r>
        <w:rPr>
          <w:rFonts w:hint="eastAsia" w:ascii="宋体" w:hAnsi="宋体"/>
          <w:color w:val="auto"/>
          <w:sz w:val="24"/>
          <w:szCs w:val="24"/>
          <w:lang w:val="en-US" w:eastAsia="zh-CN"/>
        </w:rPr>
        <w:t xml:space="preserve">2. </w:t>
      </w:r>
      <w:r>
        <w:rPr>
          <w:rFonts w:hint="eastAsia" w:ascii="宋体" w:hAnsi="宋体"/>
          <w:color w:val="auto"/>
          <w:sz w:val="24"/>
          <w:szCs w:val="24"/>
        </w:rPr>
        <w:t>对乙方所销售的伯朗特产品提供售后服务工作；</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遵守甲方规定（包括但不限于：不可撕掉BORUNTE商标销售机器人或者机械手、不可以改变机台颜色、不可以拆分后重装的行为、以及其他甲方规定的行为）。</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因乙方未能及时提供售后服务以致客户或第三方投诉，导致“BORUNTE”品牌或甲方受到第三方的索赔或政府相关部门的罚款等损失由乙方承担。</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因乙方违反法律法规进行宣传或营销所引起的第三方追索对甲方的赔偿或政府相关部门对甲方的罚款及其他损失由乙方承担。</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乙方不得使用伯朗特机器人股份有限公司的品牌授权从事任何违法、违规的行为，以及侵犯甲方或第三方权益行为。</w:t>
      </w:r>
    </w:p>
    <w:p>
      <w:pPr>
        <w:pStyle w:val="30"/>
        <w:spacing w:line="360" w:lineRule="auto"/>
        <w:ind w:left="360" w:firstLine="0" w:firstLineChars="0"/>
        <w:jc w:val="left"/>
        <w:rPr>
          <w:rFonts w:ascii="宋体" w:hAnsi="宋体"/>
          <w:color w:val="auto"/>
          <w:sz w:val="24"/>
          <w:szCs w:val="24"/>
        </w:rPr>
      </w:pPr>
      <w:r>
        <w:rPr>
          <w:rFonts w:hint="eastAsia" w:ascii="宋体" w:hAnsi="宋体"/>
          <w:color w:val="auto"/>
          <w:sz w:val="24"/>
          <w:szCs w:val="24"/>
        </w:rPr>
        <w:t>如乙方未执行以上应用商的义务，除了承担以上的责任外，甲方有权单方面取消乙方所有未实现的返点。</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应用商资格的取消：</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如乙方违反甲方以下规定：</w:t>
      </w:r>
    </w:p>
    <w:p>
      <w:pPr>
        <w:ind w:firstLine="720" w:firstLineChars="300"/>
        <w:rPr>
          <w:rFonts w:ascii="宋体" w:hAnsi="宋体"/>
          <w:color w:val="auto"/>
          <w:sz w:val="24"/>
          <w:szCs w:val="24"/>
        </w:rPr>
      </w:pPr>
      <w:r>
        <w:rPr>
          <w:rFonts w:hint="eastAsia" w:ascii="宋体" w:hAnsi="宋体"/>
          <w:color w:val="auto"/>
          <w:sz w:val="24"/>
          <w:szCs w:val="24"/>
        </w:rPr>
        <w:t>如乙方违反甲方规定（包括但不限于撕掉BORUNTE商标或张贴其他品牌商标销售机器人或者机械手、改变机台颜色、拆分后重装的行为）者，甲方有权单方面取消乙方应用商资格、取消所有未享受的返点。</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如乙方连续6个月机台付款金额为零</w:t>
      </w:r>
      <w:r>
        <w:rPr>
          <w:rFonts w:hint="eastAsia" w:ascii="宋体" w:hAnsi="宋体"/>
          <w:color w:val="auto"/>
          <w:sz w:val="24"/>
          <w:szCs w:val="24"/>
          <w:lang w:val="en-US" w:eastAsia="zh-CN"/>
        </w:rPr>
        <w:t>或120个月未完成本合同的履约，</w:t>
      </w:r>
      <w:r>
        <w:rPr>
          <w:rFonts w:hint="eastAsia" w:ascii="宋体" w:hAnsi="宋体"/>
          <w:color w:val="auto"/>
          <w:sz w:val="24"/>
          <w:szCs w:val="24"/>
        </w:rPr>
        <w:t>甲方有权单方取消乙方的应用商资格。</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应用商资格的取消以甲方邮件通知为准。</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应用商资格的取消不影响本合同其他条款（包括标的物买卖相关条款以及担保条款）的效力。</w:t>
      </w:r>
    </w:p>
    <w:p>
      <w:pPr>
        <w:spacing w:line="240" w:lineRule="atLeast"/>
        <w:rPr>
          <w:rFonts w:hint="eastAsia" w:ascii="宋体" w:hAnsi="宋体"/>
          <w:b/>
          <w:color w:val="auto"/>
          <w:sz w:val="24"/>
          <w:szCs w:val="24"/>
        </w:rPr>
      </w:pPr>
    </w:p>
    <w:p>
      <w:pPr>
        <w:spacing w:line="240" w:lineRule="atLeast"/>
        <w:rPr>
          <w:rFonts w:ascii="宋体" w:hAnsi="宋体"/>
          <w:b/>
          <w:color w:val="auto"/>
          <w:sz w:val="24"/>
          <w:szCs w:val="24"/>
        </w:rPr>
      </w:pPr>
      <w:r>
        <w:rPr>
          <w:rFonts w:hint="eastAsia" w:ascii="宋体" w:hAnsi="宋体"/>
          <w:b/>
          <w:color w:val="auto"/>
          <w:sz w:val="24"/>
          <w:szCs w:val="24"/>
        </w:rPr>
        <w:t>第八条</w:t>
      </w:r>
      <w:r>
        <w:rPr>
          <w:rFonts w:hint="eastAsia" w:ascii="宋体" w:hAnsi="宋体"/>
          <w:b/>
          <w:color w:val="auto"/>
          <w:sz w:val="24"/>
          <w:szCs w:val="24"/>
          <w:lang w:val="en-US" w:eastAsia="zh-CN"/>
        </w:rPr>
        <w:t xml:space="preserve"> </w:t>
      </w:r>
      <w:r>
        <w:rPr>
          <w:rFonts w:hint="eastAsia" w:ascii="宋体" w:hAnsi="宋体"/>
          <w:b/>
          <w:color w:val="auto"/>
          <w:sz w:val="24"/>
          <w:szCs w:val="24"/>
        </w:rPr>
        <w:t>担保</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担保保证期间：自甲乙双方合作终止及买卖合同解除后满两年。</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保证责任承担：</w:t>
      </w:r>
    </w:p>
    <w:p>
      <w:pPr>
        <w:pStyle w:val="30"/>
        <w:numPr>
          <w:ilvl w:val="-1"/>
          <w:numId w:val="0"/>
        </w:numPr>
        <w:spacing w:line="360" w:lineRule="auto"/>
        <w:ind w:left="0" w:firstLine="720" w:firstLineChars="300"/>
        <w:jc w:val="left"/>
        <w:rPr>
          <w:rFonts w:ascii="宋体" w:hAnsi="宋体"/>
          <w:color w:val="auto"/>
          <w:sz w:val="24"/>
          <w:szCs w:val="24"/>
        </w:rPr>
      </w:pPr>
      <w:r>
        <w:rPr>
          <w:rFonts w:hint="eastAsia" w:ascii="宋体" w:hAnsi="宋体"/>
          <w:color w:val="auto"/>
          <w:sz w:val="24"/>
          <w:szCs w:val="24"/>
        </w:rPr>
        <w:t>按本协议约定的提货日期到期后7天，如乙方未完成提货也未按本协议约定支付违约金，导致甲方诉讼的，保证人须承担甲方造成的一切损失（包括但不限于违约金额以及诉讼费用、律师费用、公证费用、执行费用、抵押物处置费、过户费、调查鉴定费、</w:t>
      </w:r>
      <w:r>
        <w:rPr>
          <w:rFonts w:hint="eastAsia" w:ascii="宋体" w:hAnsi="宋体"/>
          <w:color w:val="auto"/>
          <w:sz w:val="24"/>
          <w:szCs w:val="24"/>
          <w:lang w:val="en-US" w:eastAsia="zh-CN"/>
        </w:rPr>
        <w:t>资产评估费、</w:t>
      </w:r>
      <w:r>
        <w:rPr>
          <w:rFonts w:hint="eastAsia" w:ascii="宋体" w:hAnsi="宋体"/>
          <w:color w:val="auto"/>
          <w:sz w:val="24"/>
          <w:szCs w:val="24"/>
        </w:rPr>
        <w:t>保全费、保险费、担保费、差旅费以及其他相关损失）。</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保证人声明与承诺：</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保证人是具有完全民事权利能力和完全民事行为能力的自然人；</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保证人对乙方履行本合同的义务情况进行监督；</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保证人不得抽逃资金、转移资产，以逃避对债权人的担保责任；</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保证向甲方提供的个人身份证、住所地、联系方式、个人邮箱、个人财产等信息的真实性、准确性，并且承诺以上信息变动之日起5天内书面通知甲方。同时保证，甲方根据上述信息而发出的主张权利的有关凭据，保证人均可收到，由此而产生的后果均由保证人承担。</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保证人未履行本合同项下保证义务时，债权人可以就保证人的违约行为对外进行公开披露，且无需对由此而可能给保证人带来的影响承担任何责任；</w:t>
      </w:r>
    </w:p>
    <w:p>
      <w:pPr>
        <w:pStyle w:val="30"/>
        <w:numPr>
          <w:ilvl w:val="0"/>
          <w:numId w:val="14"/>
        </w:numPr>
        <w:spacing w:line="360" w:lineRule="auto"/>
        <w:ind w:left="0" w:firstLine="0" w:firstLineChars="0"/>
        <w:jc w:val="left"/>
        <w:rPr>
          <w:rFonts w:ascii="宋体" w:hAnsi="宋体"/>
          <w:color w:val="auto"/>
          <w:sz w:val="24"/>
          <w:szCs w:val="24"/>
        </w:rPr>
      </w:pPr>
      <w:r>
        <w:rPr>
          <w:rFonts w:hint="eastAsia" w:ascii="宋体" w:hAnsi="宋体"/>
          <w:b/>
          <w:color w:val="auto"/>
          <w:sz w:val="24"/>
          <w:szCs w:val="24"/>
        </w:rPr>
        <w:t>提示：甲方已提请保证人对本合同就条款作全面、准确的理解。签约各方对本合同含义认识一致。本合同项下发生相关债权凭证不再送达保证人。</w:t>
      </w:r>
    </w:p>
    <w:p>
      <w:pPr>
        <w:spacing w:line="240" w:lineRule="atLeast"/>
        <w:rPr>
          <w:rFonts w:ascii="宋体" w:hAnsi="宋体"/>
          <w:b/>
          <w:color w:val="auto"/>
          <w:sz w:val="24"/>
          <w:szCs w:val="24"/>
        </w:rPr>
      </w:pPr>
      <w:r>
        <w:rPr>
          <w:rFonts w:hint="eastAsia" w:ascii="宋体" w:hAnsi="宋体"/>
          <w:b/>
          <w:color w:val="auto"/>
          <w:sz w:val="24"/>
          <w:szCs w:val="24"/>
        </w:rPr>
        <w:t>第九条</w:t>
      </w:r>
      <w:r>
        <w:rPr>
          <w:rFonts w:hint="eastAsia" w:ascii="宋体" w:hAnsi="宋体"/>
          <w:b/>
          <w:color w:val="auto"/>
          <w:sz w:val="24"/>
          <w:szCs w:val="24"/>
          <w:lang w:val="en-US" w:eastAsia="zh-CN"/>
        </w:rPr>
        <w:t xml:space="preserve"> </w:t>
      </w:r>
      <w:r>
        <w:rPr>
          <w:rFonts w:hint="eastAsia" w:ascii="宋体" w:hAnsi="宋体"/>
          <w:b/>
          <w:color w:val="auto"/>
          <w:sz w:val="24"/>
          <w:szCs w:val="24"/>
        </w:rPr>
        <w:t>通知与送达</w:t>
      </w:r>
    </w:p>
    <w:p>
      <w:pPr>
        <w:spacing w:line="360" w:lineRule="auto"/>
        <w:ind w:firstLine="480" w:firstLineChars="200"/>
        <w:rPr>
          <w:rFonts w:ascii="宋体" w:hAnsi="宋体"/>
          <w:color w:val="auto"/>
          <w:sz w:val="24"/>
          <w:szCs w:val="24"/>
        </w:rPr>
      </w:pPr>
      <w:r>
        <w:rPr>
          <w:rFonts w:hint="eastAsia" w:ascii="宋体" w:hAnsi="宋体"/>
          <w:color w:val="auto"/>
          <w:sz w:val="24"/>
          <w:szCs w:val="24"/>
        </w:rPr>
        <w:t>甲方、乙方、保证人各方因合同、文件、通知等要送达对方时，可通过面送、邮寄或电子邮箱送达的方式。通过电子邮箱送达的，电子数据到达对方指定电子邮箱服务器即视为送达。</w:t>
      </w:r>
    </w:p>
    <w:p>
      <w:pPr>
        <w:spacing w:line="360" w:lineRule="auto"/>
        <w:ind w:firstLine="480" w:firstLineChars="200"/>
        <w:rPr>
          <w:rFonts w:ascii="宋体" w:hAnsi="宋体"/>
          <w:color w:val="auto"/>
          <w:sz w:val="24"/>
          <w:szCs w:val="24"/>
        </w:rPr>
      </w:pPr>
      <w:r>
        <w:rPr>
          <w:rFonts w:hint="eastAsia" w:ascii="宋体" w:hAnsi="宋体"/>
          <w:color w:val="auto"/>
          <w:sz w:val="24"/>
          <w:szCs w:val="24"/>
        </w:rPr>
        <w:t>1、甲乙双方确认各自联系人及指定联络地址、电子邮箱为：</w:t>
      </w:r>
    </w:p>
    <w:p>
      <w:pPr>
        <w:spacing w:line="360" w:lineRule="auto"/>
        <w:jc w:val="left"/>
        <w:rPr>
          <w:rFonts w:ascii="宋体" w:hAnsi="宋体"/>
          <w:color w:val="auto"/>
          <w:sz w:val="24"/>
          <w:szCs w:val="24"/>
        </w:rPr>
      </w:pPr>
      <w:r>
        <w:rPr>
          <w:rFonts w:hint="eastAsia" w:ascii="宋体" w:hAnsi="宋体"/>
          <w:color w:val="auto"/>
          <w:sz w:val="24"/>
          <w:szCs w:val="24"/>
        </w:rPr>
        <w:t>甲方联系地址：东莞市大朗镇沙步村沙富路83号      联系人：赖嘉欣</w:t>
      </w:r>
    </w:p>
    <w:p>
      <w:pPr>
        <w:spacing w:after="240" w:line="360" w:lineRule="auto"/>
        <w:jc w:val="left"/>
        <w:rPr>
          <w:rFonts w:ascii="宋体" w:hAnsi="宋体"/>
          <w:color w:val="auto"/>
          <w:sz w:val="24"/>
          <w:szCs w:val="24"/>
        </w:rPr>
      </w:pPr>
      <w:r>
        <w:rPr>
          <w:rFonts w:hint="eastAsia" w:ascii="宋体" w:hAnsi="宋体"/>
          <w:color w:val="auto"/>
          <w:sz w:val="24"/>
          <w:szCs w:val="24"/>
        </w:rPr>
        <w:t>甲方联系电子邮箱：</w:t>
      </w:r>
      <w:r>
        <w:rPr>
          <w:color w:val="auto"/>
        </w:rPr>
        <w:fldChar w:fldCharType="begin"/>
      </w:r>
      <w:r>
        <w:rPr>
          <w:color w:val="auto"/>
        </w:rPr>
        <w:instrText xml:space="preserve"> HYPERLINK "mailto:zjb11@brotherobot.cn；zjb015@brotherobot.cn；info02@brotherobot.cn；zjb12@brotherobot.cn；zjb04@brotherobot.cn；zjb08@brotherobot.cn，这6个邮箱中任一个邮箱皆为甲方指定邮箱。" </w:instrText>
      </w:r>
      <w:r>
        <w:rPr>
          <w:color w:val="auto"/>
        </w:rPr>
        <w:fldChar w:fldCharType="separate"/>
      </w:r>
      <w:r>
        <w:rPr>
          <w:rFonts w:hint="eastAsia" w:ascii="宋体" w:hAnsi="宋体"/>
          <w:color w:val="auto"/>
          <w:sz w:val="24"/>
          <w:szCs w:val="24"/>
        </w:rPr>
        <w:t xml:space="preserve"> zjb11@b</w:t>
      </w:r>
      <w:r>
        <w:rPr>
          <w:rFonts w:hint="eastAsia" w:ascii="宋体" w:hAnsi="宋体"/>
          <w:color w:val="auto"/>
          <w:sz w:val="24"/>
          <w:szCs w:val="24"/>
          <w:lang w:val="en-US" w:eastAsia="zh-CN"/>
        </w:rPr>
        <w:t>orunte.com</w:t>
      </w:r>
      <w:r>
        <w:rPr>
          <w:rFonts w:hint="eastAsia" w:ascii="宋体" w:hAnsi="宋体"/>
          <w:color w:val="auto"/>
          <w:sz w:val="24"/>
          <w:szCs w:val="24"/>
        </w:rPr>
        <w:t>；zjb015@b</w:t>
      </w:r>
      <w:r>
        <w:rPr>
          <w:rFonts w:hint="eastAsia" w:ascii="宋体" w:hAnsi="宋体"/>
          <w:color w:val="auto"/>
          <w:sz w:val="24"/>
          <w:szCs w:val="24"/>
          <w:lang w:val="en-US" w:eastAsia="zh-CN"/>
        </w:rPr>
        <w:t>orunte.com</w:t>
      </w:r>
      <w:r>
        <w:rPr>
          <w:rFonts w:hint="eastAsia" w:ascii="宋体" w:hAnsi="宋体"/>
          <w:color w:val="auto"/>
          <w:sz w:val="24"/>
          <w:szCs w:val="24"/>
        </w:rPr>
        <w:t>；info02@b</w:t>
      </w:r>
      <w:r>
        <w:rPr>
          <w:rFonts w:hint="eastAsia" w:ascii="宋体" w:hAnsi="宋体"/>
          <w:color w:val="auto"/>
          <w:sz w:val="24"/>
          <w:szCs w:val="24"/>
          <w:lang w:val="en-US" w:eastAsia="zh-CN"/>
        </w:rPr>
        <w:t>orunte.com</w:t>
      </w:r>
      <w:r>
        <w:rPr>
          <w:rFonts w:hint="eastAsia" w:ascii="宋体" w:hAnsi="宋体"/>
          <w:color w:val="auto"/>
          <w:sz w:val="24"/>
          <w:szCs w:val="24"/>
        </w:rPr>
        <w:t>；zjb12@b</w:t>
      </w:r>
      <w:r>
        <w:rPr>
          <w:rFonts w:hint="eastAsia" w:ascii="宋体" w:hAnsi="宋体"/>
          <w:color w:val="auto"/>
          <w:sz w:val="24"/>
          <w:szCs w:val="24"/>
          <w:lang w:val="en-US" w:eastAsia="zh-CN"/>
        </w:rPr>
        <w:t>orunte.com</w:t>
      </w:r>
      <w:r>
        <w:rPr>
          <w:rFonts w:hint="eastAsia" w:ascii="宋体" w:hAnsi="宋体"/>
          <w:color w:val="auto"/>
          <w:sz w:val="24"/>
          <w:szCs w:val="24"/>
        </w:rPr>
        <w:t>；zjb04@b</w:t>
      </w:r>
      <w:r>
        <w:rPr>
          <w:rFonts w:hint="eastAsia" w:ascii="宋体" w:hAnsi="宋体"/>
          <w:color w:val="auto"/>
          <w:sz w:val="24"/>
          <w:szCs w:val="24"/>
          <w:lang w:val="en-US" w:eastAsia="zh-CN"/>
        </w:rPr>
        <w:t>orunte.com</w:t>
      </w:r>
      <w:r>
        <w:rPr>
          <w:rFonts w:hint="eastAsia" w:ascii="宋体" w:hAnsi="宋体"/>
          <w:color w:val="auto"/>
          <w:sz w:val="24"/>
          <w:szCs w:val="24"/>
        </w:rPr>
        <w:t>；zjb08@b</w:t>
      </w:r>
      <w:r>
        <w:rPr>
          <w:rFonts w:hint="eastAsia" w:ascii="宋体" w:hAnsi="宋体"/>
          <w:color w:val="auto"/>
          <w:sz w:val="24"/>
          <w:szCs w:val="24"/>
          <w:lang w:val="en-US" w:eastAsia="zh-CN"/>
        </w:rPr>
        <w:t>orunte.com</w:t>
      </w:r>
      <w:r>
        <w:rPr>
          <w:rFonts w:hint="eastAsia" w:ascii="宋体" w:hAnsi="宋体"/>
          <w:color w:val="auto"/>
          <w:sz w:val="24"/>
          <w:szCs w:val="24"/>
        </w:rPr>
        <w:t>，这6个邮箱中任一个邮箱皆为甲方指定邮箱。</w:t>
      </w:r>
      <w:r>
        <w:rPr>
          <w:rFonts w:hint="eastAsia" w:ascii="宋体" w:hAnsi="宋体"/>
          <w:color w:val="auto"/>
          <w:sz w:val="24"/>
          <w:szCs w:val="24"/>
        </w:rPr>
        <w:fldChar w:fldCharType="end"/>
      </w:r>
    </w:p>
    <w:p>
      <w:pPr>
        <w:spacing w:line="360" w:lineRule="auto"/>
        <w:rPr>
          <w:rFonts w:ascii="宋体" w:hAnsi="宋体"/>
          <w:color w:val="auto"/>
          <w:sz w:val="24"/>
          <w:szCs w:val="24"/>
        </w:rPr>
      </w:pPr>
      <w:r>
        <w:rPr>
          <w:rFonts w:hint="eastAsia" w:ascii="宋体" w:hAnsi="宋体"/>
          <w:color w:val="auto"/>
          <w:sz w:val="24"/>
          <w:szCs w:val="24"/>
        </w:rPr>
        <w:t>2、乙方联系地址：                              联系人：</w:t>
      </w:r>
    </w:p>
    <w:p>
      <w:pPr>
        <w:ind w:firstLine="360" w:firstLineChars="150"/>
        <w:rPr>
          <w:rFonts w:hint="eastAsia" w:ascii="宋体" w:hAnsi="宋体"/>
          <w:color w:val="auto"/>
          <w:sz w:val="24"/>
          <w:szCs w:val="24"/>
        </w:rPr>
      </w:pPr>
      <w:r>
        <w:rPr>
          <w:rFonts w:hint="eastAsia" w:ascii="宋体" w:hAnsi="宋体"/>
          <w:color w:val="auto"/>
          <w:sz w:val="24"/>
          <w:szCs w:val="24"/>
        </w:rPr>
        <w:t>乙方联系电子邮箱：                          联系号码：</w:t>
      </w:r>
    </w:p>
    <w:p>
      <w:pPr>
        <w:ind w:firstLine="360" w:firstLineChars="150"/>
        <w:rPr>
          <w:rFonts w:hint="eastAsia" w:ascii="宋体" w:hAnsi="宋体"/>
          <w:color w:val="auto"/>
          <w:sz w:val="24"/>
          <w:szCs w:val="24"/>
        </w:rPr>
      </w:pPr>
    </w:p>
    <w:p>
      <w:pPr>
        <w:spacing w:line="360" w:lineRule="auto"/>
        <w:jc w:val="left"/>
        <w:rPr>
          <w:rFonts w:ascii="宋体" w:hAnsi="宋体"/>
          <w:color w:val="auto"/>
          <w:sz w:val="24"/>
          <w:szCs w:val="24"/>
        </w:rPr>
      </w:pPr>
      <w:r>
        <w:rPr>
          <w:rFonts w:hint="eastAsia" w:ascii="宋体" w:hAnsi="宋体"/>
          <w:color w:val="auto"/>
          <w:sz w:val="24"/>
          <w:szCs w:val="24"/>
        </w:rPr>
        <w:t>3、保证人的联系方式、指定联络地址、电子邮箱见本合同尾部保证人签署处。</w:t>
      </w:r>
    </w:p>
    <w:p>
      <w:pPr>
        <w:spacing w:line="240" w:lineRule="atLeast"/>
        <w:rPr>
          <w:rFonts w:hint="eastAsia" w:ascii="宋体" w:hAnsi="宋体"/>
          <w:b/>
          <w:color w:val="auto"/>
          <w:sz w:val="24"/>
          <w:szCs w:val="24"/>
        </w:rPr>
      </w:pPr>
    </w:p>
    <w:p>
      <w:pPr>
        <w:spacing w:line="240" w:lineRule="atLeast"/>
        <w:rPr>
          <w:rFonts w:hint="eastAsia" w:ascii="宋体" w:hAnsi="宋体"/>
          <w:b/>
          <w:color w:val="auto"/>
          <w:sz w:val="24"/>
          <w:szCs w:val="24"/>
        </w:rPr>
      </w:pPr>
      <w:r>
        <w:rPr>
          <w:rFonts w:hint="eastAsia" w:ascii="宋体" w:hAnsi="宋体"/>
          <w:b/>
          <w:color w:val="auto"/>
          <w:sz w:val="24"/>
          <w:szCs w:val="24"/>
        </w:rPr>
        <w:t>第</w:t>
      </w:r>
      <w:r>
        <w:rPr>
          <w:rFonts w:hint="eastAsia" w:ascii="宋体" w:hAnsi="宋体"/>
          <w:b/>
          <w:color w:val="auto"/>
          <w:sz w:val="24"/>
          <w:szCs w:val="24"/>
          <w:lang w:val="en-US" w:eastAsia="zh-CN"/>
        </w:rPr>
        <w:t>十</w:t>
      </w:r>
      <w:r>
        <w:rPr>
          <w:rFonts w:hint="eastAsia" w:ascii="宋体" w:hAnsi="宋体"/>
          <w:b/>
          <w:color w:val="auto"/>
          <w:sz w:val="24"/>
          <w:szCs w:val="24"/>
        </w:rPr>
        <w:t>条 管辖法院</w:t>
      </w:r>
    </w:p>
    <w:p>
      <w:pPr>
        <w:spacing w:line="240" w:lineRule="atLeast"/>
        <w:rPr>
          <w:rFonts w:hint="eastAsia" w:ascii="宋体" w:hAnsi="宋体"/>
          <w:b/>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争议管辖：凡因本合同引起或与本合同有关的任何争议，如甲乙双方不能通过友好协商解决，均应提交甲方所在地人民法院诉讼解决。</w:t>
      </w:r>
    </w:p>
    <w:p>
      <w:pPr>
        <w:spacing w:line="360" w:lineRule="auto"/>
        <w:rPr>
          <w:rFonts w:hint="eastAsia" w:ascii="宋体" w:hAnsi="宋体"/>
          <w:color w:val="auto"/>
          <w:sz w:val="24"/>
          <w:szCs w:val="24"/>
        </w:rPr>
      </w:pPr>
    </w:p>
    <w:p>
      <w:pPr>
        <w:spacing w:line="240" w:lineRule="atLeast"/>
        <w:rPr>
          <w:rFonts w:ascii="宋体" w:hAnsi="宋体"/>
          <w:color w:val="auto"/>
          <w:sz w:val="24"/>
          <w:szCs w:val="24"/>
        </w:rPr>
      </w:pPr>
      <w:r>
        <w:rPr>
          <w:rFonts w:hint="eastAsia" w:ascii="宋体" w:hAnsi="宋体"/>
          <w:b/>
          <w:color w:val="auto"/>
          <w:sz w:val="24"/>
          <w:szCs w:val="24"/>
        </w:rPr>
        <w:t>第十</w:t>
      </w:r>
      <w:r>
        <w:rPr>
          <w:rFonts w:hint="eastAsia" w:ascii="宋体" w:hAnsi="宋体"/>
          <w:b/>
          <w:color w:val="auto"/>
          <w:sz w:val="24"/>
          <w:szCs w:val="24"/>
          <w:lang w:val="en-US" w:eastAsia="zh-CN"/>
        </w:rPr>
        <w:t>一</w:t>
      </w:r>
      <w:r>
        <w:rPr>
          <w:rFonts w:hint="eastAsia" w:ascii="宋体" w:hAnsi="宋体"/>
          <w:b/>
          <w:color w:val="auto"/>
          <w:sz w:val="24"/>
          <w:szCs w:val="24"/>
        </w:rPr>
        <w:t>条</w:t>
      </w:r>
      <w:r>
        <w:rPr>
          <w:rFonts w:hint="eastAsia" w:ascii="宋体" w:hAnsi="宋体"/>
          <w:b/>
          <w:color w:val="auto"/>
          <w:sz w:val="24"/>
          <w:szCs w:val="24"/>
          <w:lang w:val="en-US" w:eastAsia="zh-CN"/>
        </w:rPr>
        <w:t xml:space="preserve">  </w:t>
      </w:r>
      <w:r>
        <w:rPr>
          <w:rFonts w:hint="eastAsia" w:ascii="宋体" w:hAnsi="宋体"/>
          <w:b/>
          <w:color w:val="auto"/>
          <w:sz w:val="24"/>
          <w:szCs w:val="24"/>
        </w:rPr>
        <w:t>其它</w:t>
      </w:r>
    </w:p>
    <w:p>
      <w:pPr>
        <w:pStyle w:val="30"/>
        <w:numPr>
          <w:ilvl w:val="-1"/>
          <w:numId w:val="0"/>
        </w:numPr>
        <w:spacing w:line="360" w:lineRule="auto"/>
        <w:ind w:left="0" w:firstLine="0" w:firstLineChars="0"/>
        <w:rPr>
          <w:rFonts w:ascii="宋体" w:hAnsi="宋体"/>
          <w:color w:val="auto"/>
          <w:sz w:val="24"/>
          <w:szCs w:val="24"/>
        </w:rPr>
      </w:pPr>
    </w:p>
    <w:p>
      <w:pPr>
        <w:pStyle w:val="30"/>
        <w:numPr>
          <w:ilvl w:val="0"/>
          <w:numId w:val="16"/>
        </w:numPr>
        <w:spacing w:line="360" w:lineRule="auto"/>
        <w:ind w:firstLineChars="0"/>
        <w:rPr>
          <w:rFonts w:ascii="宋体" w:hAnsi="宋体"/>
          <w:color w:val="auto"/>
          <w:sz w:val="24"/>
          <w:szCs w:val="24"/>
        </w:rPr>
      </w:pPr>
      <w:r>
        <w:rPr>
          <w:rFonts w:hint="eastAsia" w:ascii="宋体" w:hAnsi="宋体"/>
          <w:color w:val="auto"/>
          <w:sz w:val="24"/>
          <w:szCs w:val="24"/>
        </w:rPr>
        <w:t>本合同经甲乙双方盖章后生效，甲、乙双方均同意扫描件或传真件与原件具有同等法律效力。</w:t>
      </w:r>
    </w:p>
    <w:p>
      <w:pPr>
        <w:pStyle w:val="30"/>
        <w:numPr>
          <w:ilvl w:val="0"/>
          <w:numId w:val="16"/>
        </w:numPr>
        <w:spacing w:line="360" w:lineRule="auto"/>
        <w:ind w:firstLineChars="0"/>
        <w:rPr>
          <w:rFonts w:ascii="宋体" w:hAnsi="宋体"/>
          <w:color w:val="auto"/>
          <w:sz w:val="24"/>
          <w:szCs w:val="24"/>
        </w:rPr>
      </w:pPr>
      <w:r>
        <w:rPr>
          <w:rFonts w:hint="eastAsia" w:ascii="宋体" w:hAnsi="宋体"/>
          <w:color w:val="auto"/>
          <w:sz w:val="24"/>
          <w:szCs w:val="24"/>
        </w:rPr>
        <w:t>本合同共</w:t>
      </w:r>
      <w:r>
        <w:rPr>
          <w:rFonts w:hint="eastAsia" w:ascii="宋体" w:hAnsi="宋体"/>
          <w:color w:val="auto"/>
          <w:sz w:val="24"/>
          <w:szCs w:val="24"/>
          <w:lang w:val="en-US" w:eastAsia="zh-CN"/>
        </w:rPr>
        <w:t>xxx</w:t>
      </w:r>
      <w:r>
        <w:rPr>
          <w:rFonts w:hint="eastAsia" w:ascii="宋体" w:hAnsi="宋体"/>
          <w:color w:val="auto"/>
          <w:sz w:val="24"/>
          <w:szCs w:val="24"/>
        </w:rPr>
        <w:t>份，其中甲、乙双方各1份</w:t>
      </w:r>
      <w:r>
        <w:rPr>
          <w:rFonts w:hint="eastAsia" w:ascii="宋体" w:hAnsi="宋体"/>
          <w:color w:val="auto"/>
          <w:sz w:val="24"/>
          <w:szCs w:val="24"/>
          <w:lang w:eastAsia="zh-CN"/>
        </w:rPr>
        <w:t>，</w:t>
      </w:r>
      <w:r>
        <w:rPr>
          <w:rFonts w:hint="eastAsia" w:ascii="宋体" w:hAnsi="宋体"/>
          <w:color w:val="auto"/>
          <w:sz w:val="24"/>
          <w:szCs w:val="24"/>
          <w:lang w:val="en-US" w:eastAsia="zh-CN"/>
        </w:rPr>
        <w:t>每个保证人1份。</w:t>
      </w:r>
    </w:p>
    <w:p>
      <w:pPr>
        <w:pStyle w:val="30"/>
        <w:numPr>
          <w:ilvl w:val="0"/>
          <w:numId w:val="16"/>
        </w:numPr>
        <w:spacing w:after="240" w:line="360" w:lineRule="auto"/>
        <w:ind w:left="0" w:firstLine="0" w:firstLineChars="0"/>
        <w:rPr>
          <w:rFonts w:ascii="宋体" w:hAnsi="宋体" w:cs="宋体"/>
          <w:color w:val="auto"/>
          <w:sz w:val="24"/>
          <w:szCs w:val="24"/>
        </w:rPr>
      </w:pPr>
      <w:r>
        <w:rPr>
          <w:rFonts w:hint="eastAsia" w:ascii="宋体" w:hAnsi="宋体" w:cs="宋体"/>
          <w:color w:val="auto"/>
          <w:sz w:val="24"/>
          <w:szCs w:val="24"/>
        </w:rPr>
        <w:t>本合同签约地址：广东省东莞市大朗镇沙步村，签约日期为     年  月   日。</w:t>
      </w:r>
    </w:p>
    <w:p>
      <w:pPr>
        <w:spacing w:line="360" w:lineRule="auto"/>
        <w:rPr>
          <w:rFonts w:hint="eastAsia"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甲方（盖章）：伯朗特机器人股份有限公司      乙方（盖章）：</w:t>
      </w:r>
    </w:p>
    <w:p>
      <w:pPr>
        <w:spacing w:line="360" w:lineRule="auto"/>
        <w:rPr>
          <w:rFonts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电话：                                      电话：</w:t>
      </w:r>
    </w:p>
    <w:p>
      <w:pPr>
        <w:spacing w:line="360" w:lineRule="auto"/>
        <w:rPr>
          <w:rFonts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签约代表人:                                 签约代表人:</w:t>
      </w:r>
    </w:p>
    <w:p>
      <w:pPr>
        <w:spacing w:line="360" w:lineRule="auto"/>
        <w:rPr>
          <w:rFonts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联系电话： </w:t>
      </w:r>
      <w:r>
        <w:rPr>
          <w:rFonts w:ascii="宋体" w:hAnsi="宋体"/>
          <w:color w:val="auto"/>
          <w:sz w:val="24"/>
          <w:szCs w:val="24"/>
        </w:rPr>
        <w:t xml:space="preserve">                                </w:t>
      </w:r>
      <w:r>
        <w:rPr>
          <w:rFonts w:hint="eastAsia" w:ascii="宋体" w:hAnsi="宋体" w:cs="宋体"/>
          <w:color w:val="auto"/>
          <w:sz w:val="24"/>
          <w:szCs w:val="24"/>
        </w:rPr>
        <w:t xml:space="preserve"> </w:t>
      </w: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tabs>
          <w:tab w:val="left" w:pos="720"/>
        </w:tabs>
        <w:spacing w:line="360" w:lineRule="auto"/>
        <w:rPr>
          <w:rFonts w:ascii="宋体" w:hAnsi="宋体" w:cs="宋体"/>
          <w:b/>
          <w:color w:val="auto"/>
          <w:sz w:val="24"/>
          <w:szCs w:val="24"/>
        </w:rPr>
      </w:pP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保证人</w:t>
      </w:r>
      <w:bookmarkStart w:id="0" w:name="_GoBack"/>
      <w:bookmarkEnd w:id="0"/>
      <w:r>
        <w:rPr>
          <w:rFonts w:hint="default" w:ascii="宋体" w:hAnsi="宋体" w:cs="宋体"/>
          <w:sz w:val="24"/>
          <w:szCs w:val="24"/>
        </w:rPr>
        <w:t xml:space="preserve">(全名并打指模)：　                </w:t>
      </w:r>
      <w:r>
        <w:rPr>
          <w:rFonts w:hint="default" w:ascii="宋体" w:hAnsi="宋体" w:cs="宋体"/>
          <w:sz w:val="24"/>
          <w:szCs w:val="24"/>
          <w:lang w:val="en-US" w:eastAsia="zh-CN"/>
        </w:rPr>
        <w:t xml:space="preserve">  </w:t>
      </w:r>
      <w:r>
        <w:rPr>
          <w:rFonts w:hint="default" w:ascii="宋体" w:hAnsi="宋体" w:cs="宋体"/>
          <w:sz w:val="24"/>
          <w:szCs w:val="24"/>
        </w:rPr>
        <w:t>　</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 xml:space="preserve">身份证号码：                             </w:t>
      </w:r>
      <w:r>
        <w:rPr>
          <w:rFonts w:hint="default" w:ascii="宋体" w:hAnsi="宋体" w:cs="宋体"/>
          <w:sz w:val="24"/>
          <w:szCs w:val="24"/>
          <w:lang w:val="en-US" w:eastAsia="zh-CN"/>
        </w:rPr>
        <w:t xml:space="preserve"> </w:t>
      </w:r>
      <w:r>
        <w:rPr>
          <w:rFonts w:hint="default" w:ascii="宋体" w:hAnsi="宋体" w:cs="宋体"/>
          <w:sz w:val="24"/>
          <w:szCs w:val="24"/>
        </w:rPr>
        <w:t>：</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 xml:space="preserve">联系号码：                               </w:t>
      </w:r>
      <w:r>
        <w:rPr>
          <w:rFonts w:hint="default" w:ascii="宋体" w:hAnsi="宋体" w:cs="宋体"/>
          <w:sz w:val="24"/>
          <w:szCs w:val="24"/>
          <w:lang w:val="en-US" w:eastAsia="zh-CN"/>
        </w:rPr>
        <w:t xml:space="preserve">  </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住所（地址）：                         　</w:t>
      </w:r>
    </w:p>
    <w:p>
      <w:pPr>
        <w:pStyle w:val="30"/>
        <w:numPr>
          <w:ilvl w:val="0"/>
          <w:numId w:val="0"/>
        </w:numPr>
        <w:spacing w:after="240"/>
        <w:ind w:left="0" w:firstLine="0" w:firstLineChars="0"/>
        <w:rPr>
          <w:rFonts w:hint="eastAsia" w:ascii="宋体" w:hAnsi="宋体" w:cs="宋体"/>
          <w:sz w:val="24"/>
          <w:szCs w:val="24"/>
        </w:rPr>
      </w:pPr>
      <w:r>
        <w:rPr>
          <w:rFonts w:hint="eastAsia" w:ascii="宋体" w:hAnsi="宋体" w:cs="宋体"/>
          <w:sz w:val="24"/>
          <w:szCs w:val="24"/>
        </w:rPr>
        <w:t xml:space="preserve">个人邮箱：                               </w:t>
      </w:r>
      <w:r>
        <w:rPr>
          <w:rFonts w:hint="default" w:ascii="宋体" w:hAnsi="宋体" w:cs="宋体"/>
          <w:sz w:val="24"/>
          <w:szCs w:val="24"/>
          <w:lang w:val="en-US" w:eastAsia="zh-CN"/>
        </w:rPr>
        <w:t xml:space="preserve">  </w:t>
      </w:r>
    </w:p>
    <w:p>
      <w:pPr>
        <w:pStyle w:val="30"/>
        <w:numPr>
          <w:ilvl w:val="0"/>
          <w:numId w:val="0"/>
        </w:numPr>
        <w:spacing w:after="240"/>
        <w:ind w:left="0" w:firstLine="0" w:firstLineChars="0"/>
        <w:rPr>
          <w:rFonts w:hint="eastAsia" w:ascii="宋体" w:hAnsi="宋体" w:cs="宋体"/>
          <w:sz w:val="24"/>
          <w:szCs w:val="24"/>
        </w:rPr>
      </w:pPr>
    </w:p>
    <w:p>
      <w:pPr>
        <w:pStyle w:val="30"/>
        <w:numPr>
          <w:ilvl w:val="0"/>
          <w:numId w:val="0"/>
        </w:numPr>
        <w:spacing w:after="240"/>
        <w:ind w:left="0" w:firstLine="0" w:firstLineChars="0"/>
        <w:rPr>
          <w:rFonts w:ascii="宋体" w:hAnsi="宋体" w:cs="宋体"/>
          <w:b w:val="0"/>
          <w:sz w:val="24"/>
          <w:szCs w:val="24"/>
        </w:rPr>
      </w:pPr>
    </w:p>
    <w:sectPr>
      <w:headerReference r:id="rId3" w:type="default"/>
      <w:footerReference r:id="rId5" w:type="default"/>
      <w:headerReference r:id="rId4" w:type="even"/>
      <w:pgSz w:w="11906" w:h="16838"/>
      <w:pgMar w:top="1304" w:right="1134" w:bottom="567" w:left="1474" w:header="851" w:footer="1219" w:gutter="0"/>
      <w:cols w:equalWidth="0" w:num="1">
        <w:col w:w="929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593088"/>
    </w:sdtPr>
    <w:sdtContent>
      <w:p>
        <w:pPr>
          <w:pStyle w:val="10"/>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b/>
        <w:sz w:val="30"/>
        <w:szCs w:val="30"/>
      </w:rPr>
    </w:pPr>
    <w:r>
      <w:rPr>
        <w:rFonts w:ascii="宋体" w:hAnsi="宋体"/>
        <w:b/>
        <w:sz w:val="30"/>
        <w:szCs w:val="30"/>
      </w:rPr>
      <w:drawing>
        <wp:anchor distT="0" distB="0" distL="114300" distR="114300" simplePos="0" relativeHeight="251659264" behindDoc="1" locked="0" layoutInCell="1" allowOverlap="1">
          <wp:simplePos x="0" y="0"/>
          <wp:positionH relativeFrom="column">
            <wp:posOffset>10795</wp:posOffset>
          </wp:positionH>
          <wp:positionV relativeFrom="paragraph">
            <wp:posOffset>-21590</wp:posOffset>
          </wp:positionV>
          <wp:extent cx="1448435" cy="31051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448435" cy="310515"/>
                  </a:xfrm>
                  <a:prstGeom prst="rect">
                    <a:avLst/>
                  </a:prstGeom>
                  <a:noFill/>
                  <a:ln w="9525" cap="flat" cmpd="sng">
                    <a:noFill/>
                    <a:prstDash val="solid"/>
                    <a:round/>
                  </a:ln>
                </pic:spPr>
              </pic:pic>
            </a:graphicData>
          </a:graphic>
        </wp:anchor>
      </w:drawing>
    </w:r>
    <w:r>
      <w:rPr>
        <w:rFonts w:hint="eastAsia" w:ascii="宋体" w:hAnsi="宋体"/>
        <w:b/>
        <w:sz w:val="30"/>
        <w:szCs w:val="30"/>
      </w:rPr>
      <w:t>伯朗特机器人股份有限公司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D4895"/>
    <w:multiLevelType w:val="multilevel"/>
    <w:tmpl w:val="814D4895"/>
    <w:lvl w:ilvl="0" w:tentative="0">
      <w:start w:val="1"/>
      <w:numFmt w:val="decimal"/>
      <w:lvlText w:val="%1)"/>
      <w:lvlJc w:val="left"/>
      <w:pPr>
        <w:tabs>
          <w:tab w:val="left" w:pos="0"/>
        </w:tabs>
        <w:ind w:left="420" w:hanging="420"/>
      </w:pPr>
      <w:rPr>
        <w:rFonts w:cs="Times New Roman"/>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lowerRoman"/>
      <w:lvlText w:val="%3."/>
      <w:lvlJc w:val="right"/>
      <w:pPr>
        <w:tabs>
          <w:tab w:val="left" w:pos="0"/>
        </w:tabs>
        <w:ind w:left="1260" w:hanging="420"/>
      </w:pPr>
      <w:rPr>
        <w:rFonts w:cs="Times New Roman"/>
      </w:rPr>
    </w:lvl>
    <w:lvl w:ilvl="3" w:tentative="0">
      <w:start w:val="1"/>
      <w:numFmt w:val="decimal"/>
      <w:lvlText w:val="%4."/>
      <w:lvlJc w:val="left"/>
      <w:pPr>
        <w:tabs>
          <w:tab w:val="left" w:pos="0"/>
        </w:tabs>
        <w:ind w:left="1680" w:hanging="420"/>
      </w:pPr>
      <w:rPr>
        <w:rFonts w:cs="Times New Roman"/>
      </w:rPr>
    </w:lvl>
    <w:lvl w:ilvl="4" w:tentative="0">
      <w:start w:val="6"/>
      <w:numFmt w:val="decimal"/>
      <w:pStyle w:val="3"/>
      <w:lvlText w:val="%5、"/>
      <w:lvlJc w:val="left"/>
      <w:pPr>
        <w:tabs>
          <w:tab w:val="left" w:pos="0"/>
        </w:tabs>
        <w:ind w:left="2400" w:hanging="720"/>
      </w:pPr>
      <w:rPr>
        <w:rFonts w:hint="default" w:cs="Times New Roman"/>
      </w:rPr>
    </w:lvl>
    <w:lvl w:ilvl="5" w:tentative="0">
      <w:start w:val="1"/>
      <w:numFmt w:val="lowerRoman"/>
      <w:lvlText w:val="%6."/>
      <w:lvlJc w:val="right"/>
      <w:pPr>
        <w:tabs>
          <w:tab w:val="left" w:pos="0"/>
        </w:tabs>
        <w:ind w:left="2520" w:hanging="420"/>
      </w:pPr>
      <w:rPr>
        <w:rFonts w:cs="Times New Roman"/>
      </w:rPr>
    </w:lvl>
    <w:lvl w:ilvl="6" w:tentative="0">
      <w:start w:val="1"/>
      <w:numFmt w:val="decimal"/>
      <w:lvlText w:val="%7."/>
      <w:lvlJc w:val="left"/>
      <w:pPr>
        <w:tabs>
          <w:tab w:val="left" w:pos="0"/>
        </w:tabs>
        <w:ind w:left="2940" w:hanging="420"/>
      </w:pPr>
      <w:rPr>
        <w:rFonts w:cs="Times New Roman"/>
      </w:rPr>
    </w:lvl>
    <w:lvl w:ilvl="7" w:tentative="0">
      <w:start w:val="1"/>
      <w:numFmt w:val="lowerLetter"/>
      <w:lvlText w:val="%8)"/>
      <w:lvlJc w:val="left"/>
      <w:pPr>
        <w:tabs>
          <w:tab w:val="left" w:pos="0"/>
        </w:tabs>
        <w:ind w:left="3360" w:hanging="420"/>
      </w:pPr>
      <w:rPr>
        <w:rFonts w:cs="Times New Roman"/>
      </w:rPr>
    </w:lvl>
    <w:lvl w:ilvl="8" w:tentative="0">
      <w:start w:val="1"/>
      <w:numFmt w:val="lowerRoman"/>
      <w:lvlText w:val="%9."/>
      <w:lvlJc w:val="right"/>
      <w:pPr>
        <w:tabs>
          <w:tab w:val="left" w:pos="0"/>
        </w:tabs>
        <w:ind w:left="3780" w:hanging="420"/>
      </w:pPr>
      <w:rPr>
        <w:rFonts w:cs="Times New Roman"/>
      </w:rPr>
    </w:lvl>
  </w:abstractNum>
  <w:abstractNum w:abstractNumId="1">
    <w:nsid w:val="090A69CF"/>
    <w:multiLevelType w:val="multilevel"/>
    <w:tmpl w:val="090A69CF"/>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FE6D92"/>
    <w:multiLevelType w:val="multilevel"/>
    <w:tmpl w:val="1CFE6D92"/>
    <w:lvl w:ilvl="0" w:tentative="0">
      <w:start w:val="1"/>
      <w:numFmt w:val="decimal"/>
      <w:lvlText w:val="%1."/>
      <w:lvlJc w:val="left"/>
      <w:pPr>
        <w:ind w:left="78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E876DC"/>
    <w:multiLevelType w:val="multilevel"/>
    <w:tmpl w:val="2CE876DC"/>
    <w:lvl w:ilvl="0" w:tentative="0">
      <w:start w:val="1"/>
      <w:numFmt w:val="decimal"/>
      <w:lvlText w:val="%1."/>
      <w:lvlJc w:val="left"/>
      <w:pPr>
        <w:ind w:left="780" w:hanging="420"/>
      </w:pPr>
      <w:rPr>
        <w:rFonts w:hint="eastAsia" w:ascii="宋体" w:hAnsi="宋体" w:eastAsia="宋体"/>
        <w:b w:val="0"/>
      </w:rPr>
    </w:lvl>
    <w:lvl w:ilvl="1" w:tentative="0">
      <w:start w:val="1"/>
      <w:numFmt w:val="lowerLetter"/>
      <w:lvlText w:val="%2)"/>
      <w:lvlJc w:val="left"/>
      <w:pPr>
        <w:ind w:left="1200" w:hanging="420"/>
      </w:pPr>
      <w:rPr>
        <w:rFonts w:hint="eastAsia"/>
      </w:rPr>
    </w:lvl>
    <w:lvl w:ilvl="2" w:tentative="0">
      <w:start w:val="1"/>
      <w:numFmt w:val="lowerRoman"/>
      <w:lvlText w:val="%3."/>
      <w:lvlJc w:val="right"/>
      <w:pPr>
        <w:ind w:left="1620" w:hanging="420"/>
      </w:pPr>
      <w:rPr>
        <w:rFonts w:hint="eastAsia"/>
      </w:rPr>
    </w:lvl>
    <w:lvl w:ilvl="3" w:tentative="0">
      <w:start w:val="1"/>
      <w:numFmt w:val="decimal"/>
      <w:lvlText w:val="%4."/>
      <w:lvlJc w:val="left"/>
      <w:pPr>
        <w:ind w:left="2040" w:hanging="420"/>
      </w:pPr>
      <w:rPr>
        <w:rFonts w:hint="eastAsia"/>
      </w:rPr>
    </w:lvl>
    <w:lvl w:ilvl="4" w:tentative="0">
      <w:start w:val="1"/>
      <w:numFmt w:val="lowerLetter"/>
      <w:lvlText w:val="%5)"/>
      <w:lvlJc w:val="left"/>
      <w:pPr>
        <w:ind w:left="2460" w:hanging="420"/>
      </w:pPr>
      <w:rPr>
        <w:rFonts w:hint="eastAsia"/>
      </w:rPr>
    </w:lvl>
    <w:lvl w:ilvl="5" w:tentative="0">
      <w:start w:val="1"/>
      <w:numFmt w:val="lowerRoman"/>
      <w:lvlText w:val="%6."/>
      <w:lvlJc w:val="right"/>
      <w:pPr>
        <w:ind w:left="2880" w:hanging="420"/>
      </w:pPr>
      <w:rPr>
        <w:rFonts w:hint="eastAsia"/>
      </w:rPr>
    </w:lvl>
    <w:lvl w:ilvl="6" w:tentative="0">
      <w:start w:val="1"/>
      <w:numFmt w:val="decimal"/>
      <w:lvlText w:val="%7."/>
      <w:lvlJc w:val="left"/>
      <w:pPr>
        <w:ind w:left="3300" w:hanging="420"/>
      </w:pPr>
      <w:rPr>
        <w:rFonts w:hint="eastAsia"/>
      </w:rPr>
    </w:lvl>
    <w:lvl w:ilvl="7" w:tentative="0">
      <w:start w:val="1"/>
      <w:numFmt w:val="lowerLetter"/>
      <w:lvlText w:val="%8)"/>
      <w:lvlJc w:val="left"/>
      <w:pPr>
        <w:ind w:left="3720" w:hanging="420"/>
      </w:pPr>
      <w:rPr>
        <w:rFonts w:hint="eastAsia"/>
      </w:rPr>
    </w:lvl>
    <w:lvl w:ilvl="8" w:tentative="0">
      <w:start w:val="1"/>
      <w:numFmt w:val="lowerRoman"/>
      <w:lvlText w:val="%9."/>
      <w:lvlJc w:val="right"/>
      <w:pPr>
        <w:ind w:left="4140" w:hanging="420"/>
      </w:pPr>
      <w:rPr>
        <w:rFonts w:hint="eastAsia"/>
      </w:rPr>
    </w:lvl>
  </w:abstractNum>
  <w:abstractNum w:abstractNumId="4">
    <w:nsid w:val="2E035ADE"/>
    <w:multiLevelType w:val="multilevel"/>
    <w:tmpl w:val="2E035ADE"/>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B7B27FC"/>
    <w:multiLevelType w:val="multilevel"/>
    <w:tmpl w:val="3B7B27FC"/>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681E70"/>
    <w:multiLevelType w:val="singleLevel"/>
    <w:tmpl w:val="3D681E70"/>
    <w:lvl w:ilvl="0" w:tentative="0">
      <w:start w:val="1"/>
      <w:numFmt w:val="decimal"/>
      <w:suff w:val="space"/>
      <w:lvlText w:val="%1."/>
      <w:lvlJc w:val="left"/>
    </w:lvl>
  </w:abstractNum>
  <w:abstractNum w:abstractNumId="7">
    <w:nsid w:val="42073CAF"/>
    <w:multiLevelType w:val="multilevel"/>
    <w:tmpl w:val="42073CAF"/>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6044BC0"/>
    <w:multiLevelType w:val="multilevel"/>
    <w:tmpl w:val="46044BC0"/>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8064A05"/>
    <w:multiLevelType w:val="multilevel"/>
    <w:tmpl w:val="48064A05"/>
    <w:lvl w:ilvl="0" w:tentative="0">
      <w:start w:val="1"/>
      <w:numFmt w:val="chineseCountingThousand"/>
      <w:lvlText w:val="(%1)"/>
      <w:lvlJc w:val="left"/>
      <w:pPr>
        <w:ind w:left="720" w:hanging="720"/>
      </w:pPr>
      <w:rPr>
        <w:rFonts w:hint="default" w:ascii="宋体" w:hAnsi="宋体" w:eastAsia="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2D33FE9"/>
    <w:multiLevelType w:val="multilevel"/>
    <w:tmpl w:val="52D33FE9"/>
    <w:lvl w:ilvl="0" w:tentative="0">
      <w:start w:val="1"/>
      <w:numFmt w:val="decimal"/>
      <w:lvlText w:val="%1."/>
      <w:lvlJc w:val="left"/>
      <w:pPr>
        <w:ind w:left="78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38016FF"/>
    <w:multiLevelType w:val="multilevel"/>
    <w:tmpl w:val="538016FF"/>
    <w:lvl w:ilvl="0" w:tentative="0">
      <w:start w:val="1"/>
      <w:numFmt w:val="decimal"/>
      <w:lvlText w:val="%1."/>
      <w:lvlJc w:val="left"/>
      <w:pPr>
        <w:ind w:left="633" w:hanging="420"/>
      </w:pPr>
      <w:rPr>
        <w:rFonts w:hint="eastAsia" w:ascii="宋体" w:hAnsi="宋体" w:eastAsia="宋体"/>
        <w:b w:val="0"/>
        <w:sz w:val="24"/>
        <w:szCs w:val="24"/>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abstractNum w:abstractNumId="12">
    <w:nsid w:val="605B4CE1"/>
    <w:multiLevelType w:val="multilevel"/>
    <w:tmpl w:val="605B4CE1"/>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3">
    <w:nsid w:val="6E2F400E"/>
    <w:multiLevelType w:val="multilevel"/>
    <w:tmpl w:val="6E2F400E"/>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456A509"/>
    <w:multiLevelType w:val="multilevel"/>
    <w:tmpl w:val="7456A509"/>
    <w:lvl w:ilvl="0" w:tentative="0">
      <w:start w:val="1"/>
      <w:numFmt w:val="chineseCountingThousand"/>
      <w:pStyle w:val="2"/>
      <w:suff w:val="space"/>
      <w:lvlText w:val="%1."/>
      <w:lvlJc w:val="left"/>
      <w:pPr>
        <w:ind w:left="340" w:hanging="340"/>
      </w:pPr>
      <w:rPr>
        <w:rFonts w:hint="eastAsia" w:ascii="黑体" w:hAnsi="黑体" w:eastAsia="黑体" w:cs="Times New Roman"/>
        <w:b/>
        <w:i w:val="0"/>
        <w:sz w:val="21"/>
        <w:szCs w:val="21"/>
      </w:rPr>
    </w:lvl>
    <w:lvl w:ilvl="1" w:tentative="0">
      <w:start w:val="4"/>
      <w:numFmt w:val="decimal"/>
      <w:lvlText w:val="%1.%2"/>
      <w:lvlJc w:val="left"/>
      <w:pPr>
        <w:tabs>
          <w:tab w:val="left" w:pos="-1985"/>
        </w:tabs>
        <w:ind w:left="-1305" w:hanging="680"/>
      </w:pPr>
      <w:rPr>
        <w:rFonts w:hint="eastAsia" w:cs="Times New Roman"/>
      </w:rPr>
    </w:lvl>
    <w:lvl w:ilvl="2" w:tentative="0">
      <w:start w:val="1"/>
      <w:numFmt w:val="decimal"/>
      <w:lvlText w:val="%1.%2.%3"/>
      <w:lvlJc w:val="left"/>
      <w:pPr>
        <w:tabs>
          <w:tab w:val="left" w:pos="-1985"/>
        </w:tabs>
        <w:ind w:left="-1418" w:hanging="567"/>
      </w:pPr>
      <w:rPr>
        <w:rFonts w:hint="eastAsia" w:ascii="黑体" w:hAnsi="黑体" w:eastAsia="黑体" w:cs="Times New Roman"/>
        <w:b w:val="0"/>
        <w:i w:val="0"/>
        <w:color w:val="auto"/>
        <w:sz w:val="21"/>
      </w:rPr>
    </w:lvl>
    <w:lvl w:ilvl="3" w:tentative="0">
      <w:start w:val="1"/>
      <w:numFmt w:val="decimal"/>
      <w:lvlText w:val="%1.%2.%3.%4"/>
      <w:lvlJc w:val="left"/>
      <w:pPr>
        <w:tabs>
          <w:tab w:val="left" w:pos="-1985"/>
        </w:tabs>
        <w:ind w:left="-964" w:hanging="1021"/>
      </w:pPr>
      <w:rPr>
        <w:rFonts w:hint="eastAsia" w:cs="Times New Roman"/>
      </w:rPr>
    </w:lvl>
    <w:lvl w:ilvl="4" w:tentative="0">
      <w:start w:val="1"/>
      <w:numFmt w:val="decimal"/>
      <w:lvlText w:val="%1.%2.%3.%4.%5"/>
      <w:lvlJc w:val="left"/>
      <w:pPr>
        <w:tabs>
          <w:tab w:val="left" w:pos="-1985"/>
        </w:tabs>
        <w:ind w:left="566" w:hanging="850"/>
      </w:pPr>
      <w:rPr>
        <w:rFonts w:hint="eastAsia" w:cs="Times New Roman"/>
      </w:rPr>
    </w:lvl>
    <w:lvl w:ilvl="5" w:tentative="0">
      <w:start w:val="1"/>
      <w:numFmt w:val="decimal"/>
      <w:lvlText w:val="%1.%2.%3.%4.%5.%6"/>
      <w:lvlJc w:val="left"/>
      <w:pPr>
        <w:tabs>
          <w:tab w:val="left" w:pos="-1985"/>
        </w:tabs>
        <w:ind w:left="1275" w:hanging="1134"/>
      </w:pPr>
      <w:rPr>
        <w:rFonts w:hint="eastAsia" w:cs="Times New Roman"/>
      </w:rPr>
    </w:lvl>
    <w:lvl w:ilvl="6" w:tentative="0">
      <w:start w:val="1"/>
      <w:numFmt w:val="decimal"/>
      <w:lvlText w:val="%1.%2.%3.%4.%5.%6.%7"/>
      <w:lvlJc w:val="left"/>
      <w:pPr>
        <w:tabs>
          <w:tab w:val="left" w:pos="-1985"/>
        </w:tabs>
        <w:ind w:left="1842" w:hanging="1276"/>
      </w:pPr>
      <w:rPr>
        <w:rFonts w:hint="eastAsia" w:cs="Times New Roman"/>
      </w:rPr>
    </w:lvl>
    <w:lvl w:ilvl="7" w:tentative="0">
      <w:start w:val="1"/>
      <w:numFmt w:val="decimal"/>
      <w:lvlText w:val="%1.%2.%3.%4.%5.%6.%7.%8"/>
      <w:lvlJc w:val="left"/>
      <w:pPr>
        <w:tabs>
          <w:tab w:val="left" w:pos="-1985"/>
        </w:tabs>
        <w:ind w:left="2409" w:hanging="1418"/>
      </w:pPr>
      <w:rPr>
        <w:rFonts w:hint="eastAsia" w:cs="Times New Roman"/>
      </w:rPr>
    </w:lvl>
    <w:lvl w:ilvl="8" w:tentative="0">
      <w:start w:val="1"/>
      <w:numFmt w:val="decimal"/>
      <w:lvlText w:val="%1.%2.%3.%4.%5.%6.%7.%8.%9"/>
      <w:lvlJc w:val="left"/>
      <w:pPr>
        <w:tabs>
          <w:tab w:val="left" w:pos="-1985"/>
        </w:tabs>
        <w:ind w:left="3117" w:hanging="1700"/>
      </w:pPr>
      <w:rPr>
        <w:rFonts w:hint="eastAsia" w:cs="Times New Roman"/>
      </w:rPr>
    </w:lvl>
  </w:abstractNum>
  <w:abstractNum w:abstractNumId="15">
    <w:nsid w:val="7BD14567"/>
    <w:multiLevelType w:val="multilevel"/>
    <w:tmpl w:val="7BD14567"/>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0"/>
  </w:num>
  <w:num w:numId="3">
    <w:abstractNumId w:val="5"/>
  </w:num>
  <w:num w:numId="4">
    <w:abstractNumId w:val="3"/>
  </w:num>
  <w:num w:numId="5">
    <w:abstractNumId w:val="13"/>
  </w:num>
  <w:num w:numId="6">
    <w:abstractNumId w:val="1"/>
  </w:num>
  <w:num w:numId="7">
    <w:abstractNumId w:val="4"/>
  </w:num>
  <w:num w:numId="8">
    <w:abstractNumId w:val="15"/>
  </w:num>
  <w:num w:numId="9">
    <w:abstractNumId w:val="12"/>
  </w:num>
  <w:num w:numId="10">
    <w:abstractNumId w:val="7"/>
  </w:num>
  <w:num w:numId="11">
    <w:abstractNumId w:val="10"/>
  </w:num>
  <w:num w:numId="12">
    <w:abstractNumId w:val="6"/>
  </w:num>
  <w:num w:numId="13">
    <w:abstractNumId w:val="11"/>
  </w:num>
  <w:num w:numId="14">
    <w:abstractNumId w:val="8"/>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MyYTZkYTUxNzIyZjQxNjI3ODI2Mjc1OTBlMGVkMDMifQ=="/>
    <w:docVar w:name="KSO_WPS_MARK_KEY" w:val="01f0e5dd-7590-445a-b07b-514731ab5ae7"/>
  </w:docVars>
  <w:rsids>
    <w:rsidRoot w:val="00294F63"/>
    <w:rsid w:val="00002F14"/>
    <w:rsid w:val="000042BE"/>
    <w:rsid w:val="00021104"/>
    <w:rsid w:val="000225B4"/>
    <w:rsid w:val="00033389"/>
    <w:rsid w:val="0004722F"/>
    <w:rsid w:val="00050D01"/>
    <w:rsid w:val="00051AE0"/>
    <w:rsid w:val="00062211"/>
    <w:rsid w:val="00074E14"/>
    <w:rsid w:val="00080085"/>
    <w:rsid w:val="000917BC"/>
    <w:rsid w:val="00097382"/>
    <w:rsid w:val="000A6B4D"/>
    <w:rsid w:val="000C2496"/>
    <w:rsid w:val="000C36F1"/>
    <w:rsid w:val="000E2099"/>
    <w:rsid w:val="000F0ED7"/>
    <w:rsid w:val="001027B0"/>
    <w:rsid w:val="00107347"/>
    <w:rsid w:val="00121D3B"/>
    <w:rsid w:val="00126177"/>
    <w:rsid w:val="00130495"/>
    <w:rsid w:val="0013685F"/>
    <w:rsid w:val="00140063"/>
    <w:rsid w:val="00144514"/>
    <w:rsid w:val="00165033"/>
    <w:rsid w:val="00174A5C"/>
    <w:rsid w:val="001775F5"/>
    <w:rsid w:val="001922E3"/>
    <w:rsid w:val="001A4679"/>
    <w:rsid w:val="001A52A0"/>
    <w:rsid w:val="001A786D"/>
    <w:rsid w:val="001B71AD"/>
    <w:rsid w:val="001C54D0"/>
    <w:rsid w:val="001F06F6"/>
    <w:rsid w:val="002059AE"/>
    <w:rsid w:val="0021021A"/>
    <w:rsid w:val="002157E4"/>
    <w:rsid w:val="00220374"/>
    <w:rsid w:val="002207A6"/>
    <w:rsid w:val="00234ADE"/>
    <w:rsid w:val="00264A29"/>
    <w:rsid w:val="00264D39"/>
    <w:rsid w:val="002654D7"/>
    <w:rsid w:val="00280E75"/>
    <w:rsid w:val="002871BD"/>
    <w:rsid w:val="00294F63"/>
    <w:rsid w:val="002D24DA"/>
    <w:rsid w:val="002E3FDF"/>
    <w:rsid w:val="00310BA9"/>
    <w:rsid w:val="00311013"/>
    <w:rsid w:val="003144FF"/>
    <w:rsid w:val="0031726A"/>
    <w:rsid w:val="00324C92"/>
    <w:rsid w:val="003277F6"/>
    <w:rsid w:val="0034467A"/>
    <w:rsid w:val="00350AAF"/>
    <w:rsid w:val="00351F79"/>
    <w:rsid w:val="003634D5"/>
    <w:rsid w:val="00365E00"/>
    <w:rsid w:val="00375FEB"/>
    <w:rsid w:val="0038112F"/>
    <w:rsid w:val="003A331E"/>
    <w:rsid w:val="003A4C21"/>
    <w:rsid w:val="003B149A"/>
    <w:rsid w:val="003B715B"/>
    <w:rsid w:val="003C3827"/>
    <w:rsid w:val="003C3897"/>
    <w:rsid w:val="003D6BCD"/>
    <w:rsid w:val="004013F4"/>
    <w:rsid w:val="004178B0"/>
    <w:rsid w:val="00436453"/>
    <w:rsid w:val="00441AC7"/>
    <w:rsid w:val="00466C22"/>
    <w:rsid w:val="0048657E"/>
    <w:rsid w:val="004B145E"/>
    <w:rsid w:val="004C7C0C"/>
    <w:rsid w:val="004E4E69"/>
    <w:rsid w:val="004F454A"/>
    <w:rsid w:val="004F62D3"/>
    <w:rsid w:val="0050525C"/>
    <w:rsid w:val="005352A3"/>
    <w:rsid w:val="0053680F"/>
    <w:rsid w:val="00555485"/>
    <w:rsid w:val="005827B8"/>
    <w:rsid w:val="0058569C"/>
    <w:rsid w:val="005C6D03"/>
    <w:rsid w:val="005D01F8"/>
    <w:rsid w:val="005E4A71"/>
    <w:rsid w:val="005F318F"/>
    <w:rsid w:val="0061259F"/>
    <w:rsid w:val="00621D99"/>
    <w:rsid w:val="006406C7"/>
    <w:rsid w:val="00644F14"/>
    <w:rsid w:val="006456C5"/>
    <w:rsid w:val="00654A16"/>
    <w:rsid w:val="00662298"/>
    <w:rsid w:val="00675E9F"/>
    <w:rsid w:val="00684683"/>
    <w:rsid w:val="00684E0F"/>
    <w:rsid w:val="00694078"/>
    <w:rsid w:val="006C6535"/>
    <w:rsid w:val="006C7ECD"/>
    <w:rsid w:val="006E3C47"/>
    <w:rsid w:val="00712EC6"/>
    <w:rsid w:val="00746BE8"/>
    <w:rsid w:val="00765BD9"/>
    <w:rsid w:val="0077106A"/>
    <w:rsid w:val="00786C39"/>
    <w:rsid w:val="00792D96"/>
    <w:rsid w:val="007937DB"/>
    <w:rsid w:val="00797631"/>
    <w:rsid w:val="007A2E12"/>
    <w:rsid w:val="007A5232"/>
    <w:rsid w:val="007D1752"/>
    <w:rsid w:val="007D2474"/>
    <w:rsid w:val="007D740C"/>
    <w:rsid w:val="007D74B8"/>
    <w:rsid w:val="007F3E44"/>
    <w:rsid w:val="007F4CDC"/>
    <w:rsid w:val="00803A0D"/>
    <w:rsid w:val="00831D12"/>
    <w:rsid w:val="008550D7"/>
    <w:rsid w:val="00866698"/>
    <w:rsid w:val="0087681B"/>
    <w:rsid w:val="0087799A"/>
    <w:rsid w:val="00877C8C"/>
    <w:rsid w:val="00877E34"/>
    <w:rsid w:val="008A40DD"/>
    <w:rsid w:val="008A5785"/>
    <w:rsid w:val="008F0E03"/>
    <w:rsid w:val="009144E5"/>
    <w:rsid w:val="0092017E"/>
    <w:rsid w:val="00925AC0"/>
    <w:rsid w:val="009268BF"/>
    <w:rsid w:val="00932DB6"/>
    <w:rsid w:val="009359C6"/>
    <w:rsid w:val="0094658A"/>
    <w:rsid w:val="00973AAB"/>
    <w:rsid w:val="00994179"/>
    <w:rsid w:val="009B0428"/>
    <w:rsid w:val="009B6B90"/>
    <w:rsid w:val="009D7416"/>
    <w:rsid w:val="00A14197"/>
    <w:rsid w:val="00A424B2"/>
    <w:rsid w:val="00A562E7"/>
    <w:rsid w:val="00A62D28"/>
    <w:rsid w:val="00A701F8"/>
    <w:rsid w:val="00A866E3"/>
    <w:rsid w:val="00A91A19"/>
    <w:rsid w:val="00A94CFA"/>
    <w:rsid w:val="00A96277"/>
    <w:rsid w:val="00A96903"/>
    <w:rsid w:val="00A96E75"/>
    <w:rsid w:val="00AA1870"/>
    <w:rsid w:val="00AA605D"/>
    <w:rsid w:val="00AB04A8"/>
    <w:rsid w:val="00AB7D0A"/>
    <w:rsid w:val="00AC626E"/>
    <w:rsid w:val="00AD4FE0"/>
    <w:rsid w:val="00AE143D"/>
    <w:rsid w:val="00AE4452"/>
    <w:rsid w:val="00AF4FCF"/>
    <w:rsid w:val="00B073C6"/>
    <w:rsid w:val="00B135B4"/>
    <w:rsid w:val="00B22782"/>
    <w:rsid w:val="00B254F5"/>
    <w:rsid w:val="00B739EA"/>
    <w:rsid w:val="00BA3257"/>
    <w:rsid w:val="00BC52AA"/>
    <w:rsid w:val="00BE4B3B"/>
    <w:rsid w:val="00BE68D1"/>
    <w:rsid w:val="00C316B8"/>
    <w:rsid w:val="00C35291"/>
    <w:rsid w:val="00C42B4F"/>
    <w:rsid w:val="00C4452C"/>
    <w:rsid w:val="00C5772B"/>
    <w:rsid w:val="00C7099B"/>
    <w:rsid w:val="00C80173"/>
    <w:rsid w:val="00CB7FEE"/>
    <w:rsid w:val="00CC7848"/>
    <w:rsid w:val="00CD60BF"/>
    <w:rsid w:val="00CE6C84"/>
    <w:rsid w:val="00D01103"/>
    <w:rsid w:val="00D17BA9"/>
    <w:rsid w:val="00D5511B"/>
    <w:rsid w:val="00D56AD3"/>
    <w:rsid w:val="00D66C7B"/>
    <w:rsid w:val="00D775ED"/>
    <w:rsid w:val="00DD1FB2"/>
    <w:rsid w:val="00DE1DBE"/>
    <w:rsid w:val="00DF3C56"/>
    <w:rsid w:val="00E20E3F"/>
    <w:rsid w:val="00E234EC"/>
    <w:rsid w:val="00E40AA8"/>
    <w:rsid w:val="00E65879"/>
    <w:rsid w:val="00E90DBE"/>
    <w:rsid w:val="00EA1D2E"/>
    <w:rsid w:val="00EB3DF2"/>
    <w:rsid w:val="00ED79D5"/>
    <w:rsid w:val="00EE0473"/>
    <w:rsid w:val="00EE66E8"/>
    <w:rsid w:val="00F00865"/>
    <w:rsid w:val="00F04256"/>
    <w:rsid w:val="00F10412"/>
    <w:rsid w:val="00F23B9C"/>
    <w:rsid w:val="00F2610E"/>
    <w:rsid w:val="00F4252E"/>
    <w:rsid w:val="00F55E4D"/>
    <w:rsid w:val="00F80029"/>
    <w:rsid w:val="00FB3ABD"/>
    <w:rsid w:val="00FB493D"/>
    <w:rsid w:val="00FB4E30"/>
    <w:rsid w:val="00FB5E81"/>
    <w:rsid w:val="00FF14BF"/>
    <w:rsid w:val="00FF7DF3"/>
    <w:rsid w:val="011353BD"/>
    <w:rsid w:val="011C66D9"/>
    <w:rsid w:val="01543E98"/>
    <w:rsid w:val="01761E20"/>
    <w:rsid w:val="01782B78"/>
    <w:rsid w:val="018002D2"/>
    <w:rsid w:val="01812CC1"/>
    <w:rsid w:val="019E1CB6"/>
    <w:rsid w:val="01A817E5"/>
    <w:rsid w:val="01A92A25"/>
    <w:rsid w:val="01F01BD2"/>
    <w:rsid w:val="01F56745"/>
    <w:rsid w:val="01F916D8"/>
    <w:rsid w:val="01F93208"/>
    <w:rsid w:val="02003D85"/>
    <w:rsid w:val="020D0CE1"/>
    <w:rsid w:val="021A27AB"/>
    <w:rsid w:val="02262C8B"/>
    <w:rsid w:val="02426DB1"/>
    <w:rsid w:val="027224AD"/>
    <w:rsid w:val="02B349AE"/>
    <w:rsid w:val="02D73025"/>
    <w:rsid w:val="02EE5305"/>
    <w:rsid w:val="03427AC1"/>
    <w:rsid w:val="03B3284F"/>
    <w:rsid w:val="03C836A2"/>
    <w:rsid w:val="04043928"/>
    <w:rsid w:val="041C0031"/>
    <w:rsid w:val="046F55B6"/>
    <w:rsid w:val="04912ACD"/>
    <w:rsid w:val="049A5E25"/>
    <w:rsid w:val="04F07318"/>
    <w:rsid w:val="04F35535"/>
    <w:rsid w:val="04FD0162"/>
    <w:rsid w:val="05116417"/>
    <w:rsid w:val="05374D3E"/>
    <w:rsid w:val="05485DC9"/>
    <w:rsid w:val="054F5005"/>
    <w:rsid w:val="05544226"/>
    <w:rsid w:val="057A4719"/>
    <w:rsid w:val="05820D91"/>
    <w:rsid w:val="0589265A"/>
    <w:rsid w:val="060A31F1"/>
    <w:rsid w:val="06476B06"/>
    <w:rsid w:val="068A18BE"/>
    <w:rsid w:val="06A20091"/>
    <w:rsid w:val="06BA27AF"/>
    <w:rsid w:val="06C109E4"/>
    <w:rsid w:val="06E52258"/>
    <w:rsid w:val="06EB2968"/>
    <w:rsid w:val="07632E46"/>
    <w:rsid w:val="07652B14"/>
    <w:rsid w:val="077F63A5"/>
    <w:rsid w:val="07813287"/>
    <w:rsid w:val="07A24871"/>
    <w:rsid w:val="07A3105C"/>
    <w:rsid w:val="07A72F75"/>
    <w:rsid w:val="07B02B04"/>
    <w:rsid w:val="07B62F76"/>
    <w:rsid w:val="07DB48F2"/>
    <w:rsid w:val="07E30FD8"/>
    <w:rsid w:val="07FE5C10"/>
    <w:rsid w:val="080131B8"/>
    <w:rsid w:val="08071A24"/>
    <w:rsid w:val="081E0C99"/>
    <w:rsid w:val="08640C24"/>
    <w:rsid w:val="086F3864"/>
    <w:rsid w:val="089A3474"/>
    <w:rsid w:val="08B04E1A"/>
    <w:rsid w:val="08B34837"/>
    <w:rsid w:val="08D90DC4"/>
    <w:rsid w:val="08E608BD"/>
    <w:rsid w:val="08EE5BF3"/>
    <w:rsid w:val="090338B0"/>
    <w:rsid w:val="09036C9D"/>
    <w:rsid w:val="09160C5F"/>
    <w:rsid w:val="092C1D1E"/>
    <w:rsid w:val="093F3855"/>
    <w:rsid w:val="09536A68"/>
    <w:rsid w:val="095B35EB"/>
    <w:rsid w:val="09807CA3"/>
    <w:rsid w:val="09B40D92"/>
    <w:rsid w:val="09BF0DFF"/>
    <w:rsid w:val="09F204B1"/>
    <w:rsid w:val="0A0D6D33"/>
    <w:rsid w:val="0A2A7D0C"/>
    <w:rsid w:val="0A444601"/>
    <w:rsid w:val="0A8E0C7B"/>
    <w:rsid w:val="0AAE0E4C"/>
    <w:rsid w:val="0ABD3355"/>
    <w:rsid w:val="0B1B560E"/>
    <w:rsid w:val="0B4A08CB"/>
    <w:rsid w:val="0B4E2161"/>
    <w:rsid w:val="0B5959EC"/>
    <w:rsid w:val="0B5E09DF"/>
    <w:rsid w:val="0B7D42A2"/>
    <w:rsid w:val="0BB735E1"/>
    <w:rsid w:val="0BF67ECB"/>
    <w:rsid w:val="0C541035"/>
    <w:rsid w:val="0CB50F4C"/>
    <w:rsid w:val="0CBE5E64"/>
    <w:rsid w:val="0D0905F5"/>
    <w:rsid w:val="0D4A504B"/>
    <w:rsid w:val="0DA209E7"/>
    <w:rsid w:val="0DB826DB"/>
    <w:rsid w:val="0DD5356D"/>
    <w:rsid w:val="0E167A9B"/>
    <w:rsid w:val="0E1C292B"/>
    <w:rsid w:val="0E714B2D"/>
    <w:rsid w:val="0E721BC1"/>
    <w:rsid w:val="0E78687A"/>
    <w:rsid w:val="0E8720A8"/>
    <w:rsid w:val="0E973F48"/>
    <w:rsid w:val="0EEA02F1"/>
    <w:rsid w:val="0EFF3BB2"/>
    <w:rsid w:val="0F067759"/>
    <w:rsid w:val="0F1C47FF"/>
    <w:rsid w:val="0F2A424A"/>
    <w:rsid w:val="0F413D1D"/>
    <w:rsid w:val="0F50137F"/>
    <w:rsid w:val="0F853D19"/>
    <w:rsid w:val="0F890F70"/>
    <w:rsid w:val="0F8F1D06"/>
    <w:rsid w:val="0F996C5C"/>
    <w:rsid w:val="0F9B0151"/>
    <w:rsid w:val="0FD42FCF"/>
    <w:rsid w:val="0FE32191"/>
    <w:rsid w:val="0FE95EB3"/>
    <w:rsid w:val="10130B23"/>
    <w:rsid w:val="10305C4D"/>
    <w:rsid w:val="10613D72"/>
    <w:rsid w:val="10695B2C"/>
    <w:rsid w:val="106B2CB4"/>
    <w:rsid w:val="10724997"/>
    <w:rsid w:val="109412AB"/>
    <w:rsid w:val="109C5C72"/>
    <w:rsid w:val="10AF4FDC"/>
    <w:rsid w:val="10C8500C"/>
    <w:rsid w:val="10DA2908"/>
    <w:rsid w:val="10E42CCD"/>
    <w:rsid w:val="10E6019A"/>
    <w:rsid w:val="11167F18"/>
    <w:rsid w:val="1118761E"/>
    <w:rsid w:val="11211C0E"/>
    <w:rsid w:val="11254776"/>
    <w:rsid w:val="11404F9B"/>
    <w:rsid w:val="11487AD7"/>
    <w:rsid w:val="115A21DE"/>
    <w:rsid w:val="116119A7"/>
    <w:rsid w:val="119A01C7"/>
    <w:rsid w:val="11BA54F2"/>
    <w:rsid w:val="11BB6933"/>
    <w:rsid w:val="11DB7BD0"/>
    <w:rsid w:val="11E62D56"/>
    <w:rsid w:val="11F76BD8"/>
    <w:rsid w:val="12040D82"/>
    <w:rsid w:val="12154D3D"/>
    <w:rsid w:val="121B56DB"/>
    <w:rsid w:val="12443162"/>
    <w:rsid w:val="12486EC1"/>
    <w:rsid w:val="12530E3D"/>
    <w:rsid w:val="12962485"/>
    <w:rsid w:val="12AB31A2"/>
    <w:rsid w:val="12C07EC5"/>
    <w:rsid w:val="12CA5B28"/>
    <w:rsid w:val="12D35F93"/>
    <w:rsid w:val="1302701D"/>
    <w:rsid w:val="13307166"/>
    <w:rsid w:val="135356F0"/>
    <w:rsid w:val="13BC3A5C"/>
    <w:rsid w:val="13BE49DC"/>
    <w:rsid w:val="13F666B5"/>
    <w:rsid w:val="145110E7"/>
    <w:rsid w:val="14657956"/>
    <w:rsid w:val="148937C0"/>
    <w:rsid w:val="14C458D4"/>
    <w:rsid w:val="14EF1875"/>
    <w:rsid w:val="14F11854"/>
    <w:rsid w:val="14FD609F"/>
    <w:rsid w:val="15367865"/>
    <w:rsid w:val="15597637"/>
    <w:rsid w:val="156E501C"/>
    <w:rsid w:val="158275DB"/>
    <w:rsid w:val="15913A08"/>
    <w:rsid w:val="15A3219A"/>
    <w:rsid w:val="15CD4BCB"/>
    <w:rsid w:val="15E11B06"/>
    <w:rsid w:val="15FA6B92"/>
    <w:rsid w:val="16064F85"/>
    <w:rsid w:val="1609187C"/>
    <w:rsid w:val="161026DC"/>
    <w:rsid w:val="164D23B2"/>
    <w:rsid w:val="16613C15"/>
    <w:rsid w:val="16651F01"/>
    <w:rsid w:val="169F7045"/>
    <w:rsid w:val="16AF5A3A"/>
    <w:rsid w:val="16B72301"/>
    <w:rsid w:val="16E86EC4"/>
    <w:rsid w:val="16EA2594"/>
    <w:rsid w:val="16FA58EE"/>
    <w:rsid w:val="172562C0"/>
    <w:rsid w:val="172978A2"/>
    <w:rsid w:val="17602C4D"/>
    <w:rsid w:val="176A78D9"/>
    <w:rsid w:val="17775A75"/>
    <w:rsid w:val="17AD5E9C"/>
    <w:rsid w:val="17AE4CAF"/>
    <w:rsid w:val="17B33577"/>
    <w:rsid w:val="17DF013B"/>
    <w:rsid w:val="17FB6E6D"/>
    <w:rsid w:val="181D0DEF"/>
    <w:rsid w:val="184316EE"/>
    <w:rsid w:val="184561F3"/>
    <w:rsid w:val="18587D74"/>
    <w:rsid w:val="186E0FEE"/>
    <w:rsid w:val="18907682"/>
    <w:rsid w:val="18B15933"/>
    <w:rsid w:val="19140096"/>
    <w:rsid w:val="192C2758"/>
    <w:rsid w:val="19385C29"/>
    <w:rsid w:val="193A32DB"/>
    <w:rsid w:val="1942300D"/>
    <w:rsid w:val="197A052A"/>
    <w:rsid w:val="19A614BB"/>
    <w:rsid w:val="19A72E9E"/>
    <w:rsid w:val="19BA3EC1"/>
    <w:rsid w:val="19DC11BE"/>
    <w:rsid w:val="19E045F1"/>
    <w:rsid w:val="1A68079B"/>
    <w:rsid w:val="1A701F58"/>
    <w:rsid w:val="1A996BE8"/>
    <w:rsid w:val="1AA67CE4"/>
    <w:rsid w:val="1AB60CF5"/>
    <w:rsid w:val="1AC867E4"/>
    <w:rsid w:val="1B184F4E"/>
    <w:rsid w:val="1B2A27DD"/>
    <w:rsid w:val="1B900533"/>
    <w:rsid w:val="1BA07245"/>
    <w:rsid w:val="1BB13D28"/>
    <w:rsid w:val="1BC81187"/>
    <w:rsid w:val="1BF268AF"/>
    <w:rsid w:val="1C054909"/>
    <w:rsid w:val="1C06132C"/>
    <w:rsid w:val="1C323F8B"/>
    <w:rsid w:val="1C6F773E"/>
    <w:rsid w:val="1C8C055F"/>
    <w:rsid w:val="1CA12522"/>
    <w:rsid w:val="1CD307E8"/>
    <w:rsid w:val="1CD84763"/>
    <w:rsid w:val="1CEC5E31"/>
    <w:rsid w:val="1D1C5BB8"/>
    <w:rsid w:val="1D2D74D6"/>
    <w:rsid w:val="1D4D63B0"/>
    <w:rsid w:val="1D5651BF"/>
    <w:rsid w:val="1D592516"/>
    <w:rsid w:val="1D6B2A02"/>
    <w:rsid w:val="1D6F5C49"/>
    <w:rsid w:val="1D8B79E2"/>
    <w:rsid w:val="1D8C1829"/>
    <w:rsid w:val="1D924AE7"/>
    <w:rsid w:val="1DA635F5"/>
    <w:rsid w:val="1DD82ADB"/>
    <w:rsid w:val="1DEF6D8A"/>
    <w:rsid w:val="1DFD1739"/>
    <w:rsid w:val="1E401394"/>
    <w:rsid w:val="1E5F6249"/>
    <w:rsid w:val="1E6A70F8"/>
    <w:rsid w:val="1E755602"/>
    <w:rsid w:val="1E7F0180"/>
    <w:rsid w:val="1EC4571D"/>
    <w:rsid w:val="1EC97EF2"/>
    <w:rsid w:val="1ECB076D"/>
    <w:rsid w:val="1F1C2488"/>
    <w:rsid w:val="1F61251C"/>
    <w:rsid w:val="1FBA0DB2"/>
    <w:rsid w:val="1FC44CC7"/>
    <w:rsid w:val="202119FA"/>
    <w:rsid w:val="203671B0"/>
    <w:rsid w:val="204711E4"/>
    <w:rsid w:val="2066584B"/>
    <w:rsid w:val="208A2CBF"/>
    <w:rsid w:val="209336A2"/>
    <w:rsid w:val="20BE2A44"/>
    <w:rsid w:val="20D75F1D"/>
    <w:rsid w:val="20F03155"/>
    <w:rsid w:val="21550713"/>
    <w:rsid w:val="21703D46"/>
    <w:rsid w:val="21801EC6"/>
    <w:rsid w:val="21851828"/>
    <w:rsid w:val="21CD19BC"/>
    <w:rsid w:val="21F030D1"/>
    <w:rsid w:val="22056B7C"/>
    <w:rsid w:val="222A213F"/>
    <w:rsid w:val="224A5B34"/>
    <w:rsid w:val="224D4158"/>
    <w:rsid w:val="22842D46"/>
    <w:rsid w:val="22987A29"/>
    <w:rsid w:val="229E2B2D"/>
    <w:rsid w:val="22A42A04"/>
    <w:rsid w:val="22A87507"/>
    <w:rsid w:val="22C74286"/>
    <w:rsid w:val="22EB287D"/>
    <w:rsid w:val="22F00387"/>
    <w:rsid w:val="233730EB"/>
    <w:rsid w:val="234E506E"/>
    <w:rsid w:val="235A0DAE"/>
    <w:rsid w:val="2372074A"/>
    <w:rsid w:val="2377134C"/>
    <w:rsid w:val="238475C9"/>
    <w:rsid w:val="238B40BB"/>
    <w:rsid w:val="238E0283"/>
    <w:rsid w:val="239478B2"/>
    <w:rsid w:val="23976567"/>
    <w:rsid w:val="23B51F9E"/>
    <w:rsid w:val="23BB0340"/>
    <w:rsid w:val="23CA0D4E"/>
    <w:rsid w:val="23DA6A85"/>
    <w:rsid w:val="23F54290"/>
    <w:rsid w:val="23FD3694"/>
    <w:rsid w:val="2403533D"/>
    <w:rsid w:val="245D6B87"/>
    <w:rsid w:val="24722F53"/>
    <w:rsid w:val="24801DD0"/>
    <w:rsid w:val="24967F5F"/>
    <w:rsid w:val="24CE712D"/>
    <w:rsid w:val="24D10CA9"/>
    <w:rsid w:val="250749B9"/>
    <w:rsid w:val="253C4EF0"/>
    <w:rsid w:val="25475EF5"/>
    <w:rsid w:val="254A1C04"/>
    <w:rsid w:val="25537E5B"/>
    <w:rsid w:val="25657ADE"/>
    <w:rsid w:val="2568296D"/>
    <w:rsid w:val="257818AB"/>
    <w:rsid w:val="25891872"/>
    <w:rsid w:val="25965D3D"/>
    <w:rsid w:val="25A12980"/>
    <w:rsid w:val="25B00681"/>
    <w:rsid w:val="25E0769B"/>
    <w:rsid w:val="260B1F29"/>
    <w:rsid w:val="262C321B"/>
    <w:rsid w:val="26592E6C"/>
    <w:rsid w:val="26630566"/>
    <w:rsid w:val="26767187"/>
    <w:rsid w:val="268E1064"/>
    <w:rsid w:val="26914B13"/>
    <w:rsid w:val="269B7AAF"/>
    <w:rsid w:val="26A50D43"/>
    <w:rsid w:val="26B11081"/>
    <w:rsid w:val="26CE3BBC"/>
    <w:rsid w:val="27185A0E"/>
    <w:rsid w:val="271E3A77"/>
    <w:rsid w:val="273B455F"/>
    <w:rsid w:val="274564DE"/>
    <w:rsid w:val="274F2647"/>
    <w:rsid w:val="27565FEE"/>
    <w:rsid w:val="276017D8"/>
    <w:rsid w:val="27AF4728"/>
    <w:rsid w:val="27B50007"/>
    <w:rsid w:val="27E4342C"/>
    <w:rsid w:val="285D6EB4"/>
    <w:rsid w:val="28781E71"/>
    <w:rsid w:val="28865590"/>
    <w:rsid w:val="28992069"/>
    <w:rsid w:val="28D8451F"/>
    <w:rsid w:val="28F45255"/>
    <w:rsid w:val="290068DB"/>
    <w:rsid w:val="290B0AF1"/>
    <w:rsid w:val="291A5D3A"/>
    <w:rsid w:val="29216DFF"/>
    <w:rsid w:val="293B5FB3"/>
    <w:rsid w:val="29A03B99"/>
    <w:rsid w:val="29BA3811"/>
    <w:rsid w:val="29F97EB9"/>
    <w:rsid w:val="2A264390"/>
    <w:rsid w:val="2A2A63BD"/>
    <w:rsid w:val="2A2D7A37"/>
    <w:rsid w:val="2A3C1552"/>
    <w:rsid w:val="2A3F7393"/>
    <w:rsid w:val="2A774A51"/>
    <w:rsid w:val="2A854691"/>
    <w:rsid w:val="2A871ED6"/>
    <w:rsid w:val="2AC964A4"/>
    <w:rsid w:val="2AE1485C"/>
    <w:rsid w:val="2AEA4CBD"/>
    <w:rsid w:val="2B116512"/>
    <w:rsid w:val="2B21686F"/>
    <w:rsid w:val="2B434271"/>
    <w:rsid w:val="2B7C4F77"/>
    <w:rsid w:val="2B856B03"/>
    <w:rsid w:val="2B8627BC"/>
    <w:rsid w:val="2B8B7CF8"/>
    <w:rsid w:val="2B96598E"/>
    <w:rsid w:val="2BAC3137"/>
    <w:rsid w:val="2BB1567F"/>
    <w:rsid w:val="2BBF4342"/>
    <w:rsid w:val="2BD216A7"/>
    <w:rsid w:val="2BD82A0A"/>
    <w:rsid w:val="2BFF288E"/>
    <w:rsid w:val="2C3A38C6"/>
    <w:rsid w:val="2C432E9F"/>
    <w:rsid w:val="2C523374"/>
    <w:rsid w:val="2C980939"/>
    <w:rsid w:val="2CA26B49"/>
    <w:rsid w:val="2CE4377C"/>
    <w:rsid w:val="2CF77A09"/>
    <w:rsid w:val="2D632F69"/>
    <w:rsid w:val="2D6C3A62"/>
    <w:rsid w:val="2D750EE8"/>
    <w:rsid w:val="2D77394F"/>
    <w:rsid w:val="2D7D5543"/>
    <w:rsid w:val="2DA21C82"/>
    <w:rsid w:val="2DC36032"/>
    <w:rsid w:val="2DE11601"/>
    <w:rsid w:val="2DF27F95"/>
    <w:rsid w:val="2E0D0B0C"/>
    <w:rsid w:val="2E1859D3"/>
    <w:rsid w:val="2E1A39AF"/>
    <w:rsid w:val="2E24159B"/>
    <w:rsid w:val="2E493D26"/>
    <w:rsid w:val="2E631B1A"/>
    <w:rsid w:val="2E9755DB"/>
    <w:rsid w:val="2EB821DC"/>
    <w:rsid w:val="2EB90CEB"/>
    <w:rsid w:val="2EC75C67"/>
    <w:rsid w:val="2ED3590C"/>
    <w:rsid w:val="2ED753FC"/>
    <w:rsid w:val="2F1630CD"/>
    <w:rsid w:val="2F2E6FE6"/>
    <w:rsid w:val="2FB52069"/>
    <w:rsid w:val="2FE844EF"/>
    <w:rsid w:val="30061DBC"/>
    <w:rsid w:val="301F3201"/>
    <w:rsid w:val="301F6783"/>
    <w:rsid w:val="303E0550"/>
    <w:rsid w:val="304D1E36"/>
    <w:rsid w:val="30896BCA"/>
    <w:rsid w:val="31071825"/>
    <w:rsid w:val="310B7449"/>
    <w:rsid w:val="312A7A94"/>
    <w:rsid w:val="31351138"/>
    <w:rsid w:val="315B52C7"/>
    <w:rsid w:val="319D55D3"/>
    <w:rsid w:val="31BB318D"/>
    <w:rsid w:val="31E13B8A"/>
    <w:rsid w:val="31E82980"/>
    <w:rsid w:val="31F121C1"/>
    <w:rsid w:val="32036EE9"/>
    <w:rsid w:val="320865A1"/>
    <w:rsid w:val="321026BD"/>
    <w:rsid w:val="32270420"/>
    <w:rsid w:val="32796BF7"/>
    <w:rsid w:val="327B1EFD"/>
    <w:rsid w:val="32802240"/>
    <w:rsid w:val="328368D0"/>
    <w:rsid w:val="329D2148"/>
    <w:rsid w:val="33053EE1"/>
    <w:rsid w:val="331C3164"/>
    <w:rsid w:val="3325597C"/>
    <w:rsid w:val="332962DE"/>
    <w:rsid w:val="339569B6"/>
    <w:rsid w:val="347444FA"/>
    <w:rsid w:val="34C122A2"/>
    <w:rsid w:val="34DA11A1"/>
    <w:rsid w:val="34ED549D"/>
    <w:rsid w:val="34F37103"/>
    <w:rsid w:val="35147233"/>
    <w:rsid w:val="351E143D"/>
    <w:rsid w:val="355D547B"/>
    <w:rsid w:val="35747E49"/>
    <w:rsid w:val="358A61A4"/>
    <w:rsid w:val="35AC2270"/>
    <w:rsid w:val="35E828B5"/>
    <w:rsid w:val="36590DED"/>
    <w:rsid w:val="368225DB"/>
    <w:rsid w:val="36C27A14"/>
    <w:rsid w:val="36CF0189"/>
    <w:rsid w:val="36F72A35"/>
    <w:rsid w:val="370F4B4B"/>
    <w:rsid w:val="374F3D75"/>
    <w:rsid w:val="37692270"/>
    <w:rsid w:val="378503DE"/>
    <w:rsid w:val="378E557C"/>
    <w:rsid w:val="37941E88"/>
    <w:rsid w:val="37A93C1F"/>
    <w:rsid w:val="37A97B52"/>
    <w:rsid w:val="37C74786"/>
    <w:rsid w:val="37D92CD7"/>
    <w:rsid w:val="37E6497A"/>
    <w:rsid w:val="37E76977"/>
    <w:rsid w:val="37F743A0"/>
    <w:rsid w:val="37FA2AD4"/>
    <w:rsid w:val="37FE378F"/>
    <w:rsid w:val="3823559F"/>
    <w:rsid w:val="382A79BC"/>
    <w:rsid w:val="382F1EB4"/>
    <w:rsid w:val="385E6B8E"/>
    <w:rsid w:val="387921C4"/>
    <w:rsid w:val="38CA6556"/>
    <w:rsid w:val="38D3366E"/>
    <w:rsid w:val="38E62934"/>
    <w:rsid w:val="38F431E2"/>
    <w:rsid w:val="390130D5"/>
    <w:rsid w:val="392E7F1D"/>
    <w:rsid w:val="39565AB7"/>
    <w:rsid w:val="398F07A8"/>
    <w:rsid w:val="39B03288"/>
    <w:rsid w:val="39D80A0A"/>
    <w:rsid w:val="39F217F8"/>
    <w:rsid w:val="39F30293"/>
    <w:rsid w:val="39FD719B"/>
    <w:rsid w:val="3A32375A"/>
    <w:rsid w:val="3A4D2D94"/>
    <w:rsid w:val="3A657671"/>
    <w:rsid w:val="3AA8444D"/>
    <w:rsid w:val="3AAE56FB"/>
    <w:rsid w:val="3AD75526"/>
    <w:rsid w:val="3AE03440"/>
    <w:rsid w:val="3B0D7CCC"/>
    <w:rsid w:val="3B4B752C"/>
    <w:rsid w:val="3B5F0C53"/>
    <w:rsid w:val="3B5F6848"/>
    <w:rsid w:val="3B6B5C83"/>
    <w:rsid w:val="3B8639D9"/>
    <w:rsid w:val="3B9E24E0"/>
    <w:rsid w:val="3B9F5B8E"/>
    <w:rsid w:val="3BA50630"/>
    <w:rsid w:val="3BCA3722"/>
    <w:rsid w:val="3BDA652C"/>
    <w:rsid w:val="3C16604C"/>
    <w:rsid w:val="3C203A8C"/>
    <w:rsid w:val="3C2334B2"/>
    <w:rsid w:val="3C2564B2"/>
    <w:rsid w:val="3C3F795C"/>
    <w:rsid w:val="3C4C7A7C"/>
    <w:rsid w:val="3C516643"/>
    <w:rsid w:val="3CB53185"/>
    <w:rsid w:val="3CBB00F6"/>
    <w:rsid w:val="3CBB7C07"/>
    <w:rsid w:val="3CD64246"/>
    <w:rsid w:val="3CDF57D3"/>
    <w:rsid w:val="3D32110B"/>
    <w:rsid w:val="3D41022D"/>
    <w:rsid w:val="3D4A780C"/>
    <w:rsid w:val="3D603830"/>
    <w:rsid w:val="3D951D7D"/>
    <w:rsid w:val="3DCD7056"/>
    <w:rsid w:val="3DE56396"/>
    <w:rsid w:val="3DF476A9"/>
    <w:rsid w:val="3E017303"/>
    <w:rsid w:val="3E1A1FDC"/>
    <w:rsid w:val="3E3F4D6C"/>
    <w:rsid w:val="3EA2148A"/>
    <w:rsid w:val="3EC53762"/>
    <w:rsid w:val="3EE60E09"/>
    <w:rsid w:val="3EF9316D"/>
    <w:rsid w:val="3EF93783"/>
    <w:rsid w:val="3F5F0F5A"/>
    <w:rsid w:val="3F6910E9"/>
    <w:rsid w:val="3F7E5353"/>
    <w:rsid w:val="3FC464AF"/>
    <w:rsid w:val="3FC904E8"/>
    <w:rsid w:val="3FDE7B96"/>
    <w:rsid w:val="40004D2F"/>
    <w:rsid w:val="400B7BD0"/>
    <w:rsid w:val="401004BA"/>
    <w:rsid w:val="403212D9"/>
    <w:rsid w:val="404E5B4E"/>
    <w:rsid w:val="4050500F"/>
    <w:rsid w:val="407641B5"/>
    <w:rsid w:val="40C014F0"/>
    <w:rsid w:val="41294A6D"/>
    <w:rsid w:val="41551FB3"/>
    <w:rsid w:val="415B251E"/>
    <w:rsid w:val="415F130A"/>
    <w:rsid w:val="418976AF"/>
    <w:rsid w:val="418A7553"/>
    <w:rsid w:val="41A41AB6"/>
    <w:rsid w:val="41BD7002"/>
    <w:rsid w:val="41D32939"/>
    <w:rsid w:val="41FA6EC4"/>
    <w:rsid w:val="423C6F11"/>
    <w:rsid w:val="42525169"/>
    <w:rsid w:val="426B0FC2"/>
    <w:rsid w:val="426B132C"/>
    <w:rsid w:val="429B4094"/>
    <w:rsid w:val="429C0228"/>
    <w:rsid w:val="42C43BA4"/>
    <w:rsid w:val="42D14B4B"/>
    <w:rsid w:val="42E702BB"/>
    <w:rsid w:val="431B2C04"/>
    <w:rsid w:val="43676240"/>
    <w:rsid w:val="4391517B"/>
    <w:rsid w:val="439873F8"/>
    <w:rsid w:val="439E18DC"/>
    <w:rsid w:val="43CC6C92"/>
    <w:rsid w:val="43D53407"/>
    <w:rsid w:val="43F13F51"/>
    <w:rsid w:val="43F24CB4"/>
    <w:rsid w:val="4427077C"/>
    <w:rsid w:val="44721FDA"/>
    <w:rsid w:val="4496320C"/>
    <w:rsid w:val="44971EF3"/>
    <w:rsid w:val="44993B1A"/>
    <w:rsid w:val="44AD53F5"/>
    <w:rsid w:val="450D309B"/>
    <w:rsid w:val="452A740A"/>
    <w:rsid w:val="45313291"/>
    <w:rsid w:val="45355C73"/>
    <w:rsid w:val="458B492F"/>
    <w:rsid w:val="458F65D9"/>
    <w:rsid w:val="459249FD"/>
    <w:rsid w:val="45C96F52"/>
    <w:rsid w:val="45DD5596"/>
    <w:rsid w:val="46294B33"/>
    <w:rsid w:val="466242AD"/>
    <w:rsid w:val="469B0FAE"/>
    <w:rsid w:val="46BB51AC"/>
    <w:rsid w:val="46D05009"/>
    <w:rsid w:val="47197114"/>
    <w:rsid w:val="4740031D"/>
    <w:rsid w:val="47947651"/>
    <w:rsid w:val="47CE7CE3"/>
    <w:rsid w:val="48014BDD"/>
    <w:rsid w:val="48152F73"/>
    <w:rsid w:val="481B6F74"/>
    <w:rsid w:val="482B1AE6"/>
    <w:rsid w:val="484920ED"/>
    <w:rsid w:val="485B47A4"/>
    <w:rsid w:val="48A4239B"/>
    <w:rsid w:val="48E93CAE"/>
    <w:rsid w:val="48F35440"/>
    <w:rsid w:val="48F610F8"/>
    <w:rsid w:val="490D7428"/>
    <w:rsid w:val="491C45BF"/>
    <w:rsid w:val="49202EA0"/>
    <w:rsid w:val="496F1F8C"/>
    <w:rsid w:val="49721003"/>
    <w:rsid w:val="497F1DE7"/>
    <w:rsid w:val="4A4C6847"/>
    <w:rsid w:val="4A846CBC"/>
    <w:rsid w:val="4A8E6E5F"/>
    <w:rsid w:val="4A940A24"/>
    <w:rsid w:val="4A9E4E43"/>
    <w:rsid w:val="4AB540F8"/>
    <w:rsid w:val="4AFA101C"/>
    <w:rsid w:val="4B026D0D"/>
    <w:rsid w:val="4B066333"/>
    <w:rsid w:val="4B08477A"/>
    <w:rsid w:val="4B4B2E5F"/>
    <w:rsid w:val="4B586FA0"/>
    <w:rsid w:val="4B801379"/>
    <w:rsid w:val="4B9966AC"/>
    <w:rsid w:val="4BA560A1"/>
    <w:rsid w:val="4BA96C09"/>
    <w:rsid w:val="4BB1329B"/>
    <w:rsid w:val="4BB74194"/>
    <w:rsid w:val="4BBC5C4E"/>
    <w:rsid w:val="4BBE5822"/>
    <w:rsid w:val="4BC06A0D"/>
    <w:rsid w:val="4BCE3CC9"/>
    <w:rsid w:val="4BE96578"/>
    <w:rsid w:val="4BF96C03"/>
    <w:rsid w:val="4C3901B2"/>
    <w:rsid w:val="4C417940"/>
    <w:rsid w:val="4C665769"/>
    <w:rsid w:val="4C675802"/>
    <w:rsid w:val="4C7144D7"/>
    <w:rsid w:val="4C807CBF"/>
    <w:rsid w:val="4C964AE1"/>
    <w:rsid w:val="4CDB65A8"/>
    <w:rsid w:val="4CE80C7F"/>
    <w:rsid w:val="4D06063C"/>
    <w:rsid w:val="4D064B75"/>
    <w:rsid w:val="4D112DC6"/>
    <w:rsid w:val="4D156537"/>
    <w:rsid w:val="4D224ECC"/>
    <w:rsid w:val="4D5E50E4"/>
    <w:rsid w:val="4D9A79EF"/>
    <w:rsid w:val="4DA91148"/>
    <w:rsid w:val="4DE46C4F"/>
    <w:rsid w:val="4DE4730E"/>
    <w:rsid w:val="4DE97A67"/>
    <w:rsid w:val="4E103313"/>
    <w:rsid w:val="4E151645"/>
    <w:rsid w:val="4E35376E"/>
    <w:rsid w:val="4E45540E"/>
    <w:rsid w:val="4E6E28FB"/>
    <w:rsid w:val="4E832A53"/>
    <w:rsid w:val="4EC2357B"/>
    <w:rsid w:val="4ECA4285"/>
    <w:rsid w:val="4EF019A7"/>
    <w:rsid w:val="4F250C7B"/>
    <w:rsid w:val="4F2C6B27"/>
    <w:rsid w:val="4F4F7E87"/>
    <w:rsid w:val="4F5623BC"/>
    <w:rsid w:val="4F951310"/>
    <w:rsid w:val="4FD53333"/>
    <w:rsid w:val="5026002C"/>
    <w:rsid w:val="504D0E61"/>
    <w:rsid w:val="50697A27"/>
    <w:rsid w:val="50760AC1"/>
    <w:rsid w:val="509E5922"/>
    <w:rsid w:val="50B17808"/>
    <w:rsid w:val="50BE54FA"/>
    <w:rsid w:val="50CF03CE"/>
    <w:rsid w:val="50DC4D7A"/>
    <w:rsid w:val="513C1EDD"/>
    <w:rsid w:val="514140C0"/>
    <w:rsid w:val="51422F10"/>
    <w:rsid w:val="51426A69"/>
    <w:rsid w:val="516B7CFB"/>
    <w:rsid w:val="517B7A4C"/>
    <w:rsid w:val="51E02B64"/>
    <w:rsid w:val="51E74681"/>
    <w:rsid w:val="51EA2E06"/>
    <w:rsid w:val="522E04D3"/>
    <w:rsid w:val="52302817"/>
    <w:rsid w:val="525B4918"/>
    <w:rsid w:val="52606FDE"/>
    <w:rsid w:val="52AC2D39"/>
    <w:rsid w:val="531843CB"/>
    <w:rsid w:val="536A0F44"/>
    <w:rsid w:val="53864FDF"/>
    <w:rsid w:val="53BD0856"/>
    <w:rsid w:val="53BF452D"/>
    <w:rsid w:val="53D01B6A"/>
    <w:rsid w:val="540966F1"/>
    <w:rsid w:val="54197693"/>
    <w:rsid w:val="542A791C"/>
    <w:rsid w:val="54444426"/>
    <w:rsid w:val="545729F4"/>
    <w:rsid w:val="54980A47"/>
    <w:rsid w:val="54AD20D5"/>
    <w:rsid w:val="54B45DB7"/>
    <w:rsid w:val="54B75204"/>
    <w:rsid w:val="54BC763D"/>
    <w:rsid w:val="54F372B3"/>
    <w:rsid w:val="54FB1B70"/>
    <w:rsid w:val="557E5503"/>
    <w:rsid w:val="55970E22"/>
    <w:rsid w:val="55B208A1"/>
    <w:rsid w:val="55B233BD"/>
    <w:rsid w:val="55B368DF"/>
    <w:rsid w:val="55D04965"/>
    <w:rsid w:val="55D203C0"/>
    <w:rsid w:val="55D92C4A"/>
    <w:rsid w:val="562B10B1"/>
    <w:rsid w:val="56622488"/>
    <w:rsid w:val="56A279DC"/>
    <w:rsid w:val="56D55D82"/>
    <w:rsid w:val="56DC509A"/>
    <w:rsid w:val="57316B0C"/>
    <w:rsid w:val="57595846"/>
    <w:rsid w:val="57723D68"/>
    <w:rsid w:val="5774619E"/>
    <w:rsid w:val="578F372A"/>
    <w:rsid w:val="579A7C76"/>
    <w:rsid w:val="57C55E8A"/>
    <w:rsid w:val="57CD46FE"/>
    <w:rsid w:val="581E3D74"/>
    <w:rsid w:val="585F0556"/>
    <w:rsid w:val="58A06260"/>
    <w:rsid w:val="58AD6A91"/>
    <w:rsid w:val="58C47EF0"/>
    <w:rsid w:val="58EE2F7B"/>
    <w:rsid w:val="590F59B5"/>
    <w:rsid w:val="59280AFA"/>
    <w:rsid w:val="595474C6"/>
    <w:rsid w:val="595F30B0"/>
    <w:rsid w:val="59A20C90"/>
    <w:rsid w:val="59E46420"/>
    <w:rsid w:val="59E92304"/>
    <w:rsid w:val="59EC506E"/>
    <w:rsid w:val="5A3A192E"/>
    <w:rsid w:val="5A461504"/>
    <w:rsid w:val="5A511483"/>
    <w:rsid w:val="5A6E7511"/>
    <w:rsid w:val="5A701E21"/>
    <w:rsid w:val="5A900C03"/>
    <w:rsid w:val="5AAD751A"/>
    <w:rsid w:val="5ABA5534"/>
    <w:rsid w:val="5AC217FE"/>
    <w:rsid w:val="5ACC6628"/>
    <w:rsid w:val="5AE34042"/>
    <w:rsid w:val="5AF94897"/>
    <w:rsid w:val="5B024F63"/>
    <w:rsid w:val="5B0531EE"/>
    <w:rsid w:val="5B1A64ED"/>
    <w:rsid w:val="5BBB04AE"/>
    <w:rsid w:val="5BC903ED"/>
    <w:rsid w:val="5C055730"/>
    <w:rsid w:val="5C1F4C32"/>
    <w:rsid w:val="5C233AEF"/>
    <w:rsid w:val="5C2D796D"/>
    <w:rsid w:val="5C4243D0"/>
    <w:rsid w:val="5C4C0AAF"/>
    <w:rsid w:val="5C594144"/>
    <w:rsid w:val="5C80682C"/>
    <w:rsid w:val="5CE85087"/>
    <w:rsid w:val="5CED4CD3"/>
    <w:rsid w:val="5CFA3E92"/>
    <w:rsid w:val="5D2072F7"/>
    <w:rsid w:val="5D452AD0"/>
    <w:rsid w:val="5D587709"/>
    <w:rsid w:val="5D5A0167"/>
    <w:rsid w:val="5D630AB5"/>
    <w:rsid w:val="5D6A40CC"/>
    <w:rsid w:val="5DBB0415"/>
    <w:rsid w:val="5DCA3AEB"/>
    <w:rsid w:val="5DE5646C"/>
    <w:rsid w:val="5E0A7A36"/>
    <w:rsid w:val="5E3A10BC"/>
    <w:rsid w:val="5E5040A1"/>
    <w:rsid w:val="5E5F3669"/>
    <w:rsid w:val="5E973A6F"/>
    <w:rsid w:val="5EDD6435"/>
    <w:rsid w:val="5EE76B91"/>
    <w:rsid w:val="5F0F2E0E"/>
    <w:rsid w:val="5F1B161A"/>
    <w:rsid w:val="5F29111B"/>
    <w:rsid w:val="5F4F41C0"/>
    <w:rsid w:val="5F6B37BB"/>
    <w:rsid w:val="5F8B7C37"/>
    <w:rsid w:val="5FA12718"/>
    <w:rsid w:val="5FE80849"/>
    <w:rsid w:val="5FEA18B3"/>
    <w:rsid w:val="5FF4730D"/>
    <w:rsid w:val="60036C09"/>
    <w:rsid w:val="606C0109"/>
    <w:rsid w:val="60CD531C"/>
    <w:rsid w:val="60EE7D2C"/>
    <w:rsid w:val="61453B98"/>
    <w:rsid w:val="6160424E"/>
    <w:rsid w:val="616861AB"/>
    <w:rsid w:val="619F3F83"/>
    <w:rsid w:val="61A42687"/>
    <w:rsid w:val="61A64578"/>
    <w:rsid w:val="61A84853"/>
    <w:rsid w:val="61C04263"/>
    <w:rsid w:val="61C6117D"/>
    <w:rsid w:val="61E96693"/>
    <w:rsid w:val="61EB00CC"/>
    <w:rsid w:val="61F73FF6"/>
    <w:rsid w:val="620158CC"/>
    <w:rsid w:val="620722EE"/>
    <w:rsid w:val="62385FBF"/>
    <w:rsid w:val="626B411B"/>
    <w:rsid w:val="62844F85"/>
    <w:rsid w:val="628F0728"/>
    <w:rsid w:val="629A55DA"/>
    <w:rsid w:val="62B33BD5"/>
    <w:rsid w:val="6310420F"/>
    <w:rsid w:val="631B1054"/>
    <w:rsid w:val="63622617"/>
    <w:rsid w:val="636D1628"/>
    <w:rsid w:val="636E387A"/>
    <w:rsid w:val="638944B9"/>
    <w:rsid w:val="63A863C0"/>
    <w:rsid w:val="63B46A2D"/>
    <w:rsid w:val="63FA2A85"/>
    <w:rsid w:val="6421566F"/>
    <w:rsid w:val="64576E5F"/>
    <w:rsid w:val="64630A1E"/>
    <w:rsid w:val="64782BDB"/>
    <w:rsid w:val="649526B5"/>
    <w:rsid w:val="64956FF3"/>
    <w:rsid w:val="64B4350F"/>
    <w:rsid w:val="64C574CA"/>
    <w:rsid w:val="64CC6853"/>
    <w:rsid w:val="64F33A79"/>
    <w:rsid w:val="650B5F41"/>
    <w:rsid w:val="652464D6"/>
    <w:rsid w:val="652D7317"/>
    <w:rsid w:val="654D5419"/>
    <w:rsid w:val="655723E2"/>
    <w:rsid w:val="655F705B"/>
    <w:rsid w:val="656D3A67"/>
    <w:rsid w:val="657D67B6"/>
    <w:rsid w:val="659B0E42"/>
    <w:rsid w:val="65B1546A"/>
    <w:rsid w:val="65FB7490"/>
    <w:rsid w:val="660202AA"/>
    <w:rsid w:val="661B2840"/>
    <w:rsid w:val="662E1EFB"/>
    <w:rsid w:val="6645546B"/>
    <w:rsid w:val="664638C5"/>
    <w:rsid w:val="66606FEB"/>
    <w:rsid w:val="667A187A"/>
    <w:rsid w:val="66A02B6E"/>
    <w:rsid w:val="66B05D1C"/>
    <w:rsid w:val="66B72473"/>
    <w:rsid w:val="66B850BC"/>
    <w:rsid w:val="67055593"/>
    <w:rsid w:val="67067C3E"/>
    <w:rsid w:val="675019AD"/>
    <w:rsid w:val="67753429"/>
    <w:rsid w:val="67766A37"/>
    <w:rsid w:val="6778167A"/>
    <w:rsid w:val="67915327"/>
    <w:rsid w:val="67F572B2"/>
    <w:rsid w:val="67F873F0"/>
    <w:rsid w:val="688003C1"/>
    <w:rsid w:val="68943512"/>
    <w:rsid w:val="68C31E15"/>
    <w:rsid w:val="68D923EA"/>
    <w:rsid w:val="68D93544"/>
    <w:rsid w:val="68EC5A37"/>
    <w:rsid w:val="68F45661"/>
    <w:rsid w:val="68FF4177"/>
    <w:rsid w:val="690B047F"/>
    <w:rsid w:val="693070DF"/>
    <w:rsid w:val="6935143D"/>
    <w:rsid w:val="69362744"/>
    <w:rsid w:val="69650413"/>
    <w:rsid w:val="69A009E1"/>
    <w:rsid w:val="69B31FE7"/>
    <w:rsid w:val="69E074C3"/>
    <w:rsid w:val="6A145504"/>
    <w:rsid w:val="6A3116DC"/>
    <w:rsid w:val="6A34227A"/>
    <w:rsid w:val="6A397AE9"/>
    <w:rsid w:val="6A4474BD"/>
    <w:rsid w:val="6A4A4B19"/>
    <w:rsid w:val="6A674B7F"/>
    <w:rsid w:val="6A8E3D24"/>
    <w:rsid w:val="6AB21835"/>
    <w:rsid w:val="6ABA55F7"/>
    <w:rsid w:val="6AC96C59"/>
    <w:rsid w:val="6ACA6DC9"/>
    <w:rsid w:val="6B0812CE"/>
    <w:rsid w:val="6B0D5727"/>
    <w:rsid w:val="6B1A6444"/>
    <w:rsid w:val="6B1D40DD"/>
    <w:rsid w:val="6B466CB1"/>
    <w:rsid w:val="6B69385A"/>
    <w:rsid w:val="6BA23AF7"/>
    <w:rsid w:val="6BBD0EFB"/>
    <w:rsid w:val="6BF32254"/>
    <w:rsid w:val="6C07239D"/>
    <w:rsid w:val="6C143C4B"/>
    <w:rsid w:val="6CA81BAB"/>
    <w:rsid w:val="6CAF663E"/>
    <w:rsid w:val="6CF54D68"/>
    <w:rsid w:val="6D002354"/>
    <w:rsid w:val="6D1A1F26"/>
    <w:rsid w:val="6D2F5B41"/>
    <w:rsid w:val="6D3F289D"/>
    <w:rsid w:val="6D5E2BE7"/>
    <w:rsid w:val="6D751388"/>
    <w:rsid w:val="6DAF2E39"/>
    <w:rsid w:val="6DDE3FA6"/>
    <w:rsid w:val="6DF22743"/>
    <w:rsid w:val="6E392F2F"/>
    <w:rsid w:val="6E3A53D6"/>
    <w:rsid w:val="6E584896"/>
    <w:rsid w:val="6E643FCD"/>
    <w:rsid w:val="6E6458E6"/>
    <w:rsid w:val="6E681CA5"/>
    <w:rsid w:val="6E6D3355"/>
    <w:rsid w:val="6E7074F4"/>
    <w:rsid w:val="6E850127"/>
    <w:rsid w:val="6E89037C"/>
    <w:rsid w:val="6EAA1A41"/>
    <w:rsid w:val="6ED95AE9"/>
    <w:rsid w:val="6EE109EF"/>
    <w:rsid w:val="6EF52953"/>
    <w:rsid w:val="6EF549EB"/>
    <w:rsid w:val="6F2B261F"/>
    <w:rsid w:val="6F347726"/>
    <w:rsid w:val="6F634F01"/>
    <w:rsid w:val="6FE4364F"/>
    <w:rsid w:val="6FE5351C"/>
    <w:rsid w:val="701659C1"/>
    <w:rsid w:val="704C07C2"/>
    <w:rsid w:val="70612C7D"/>
    <w:rsid w:val="70673B2B"/>
    <w:rsid w:val="706F478E"/>
    <w:rsid w:val="70887FD5"/>
    <w:rsid w:val="718B4280"/>
    <w:rsid w:val="71AB67E5"/>
    <w:rsid w:val="71BD59FD"/>
    <w:rsid w:val="71CA528C"/>
    <w:rsid w:val="71D078EC"/>
    <w:rsid w:val="71FC3E0F"/>
    <w:rsid w:val="723846A8"/>
    <w:rsid w:val="72427A3F"/>
    <w:rsid w:val="72442376"/>
    <w:rsid w:val="724A20C2"/>
    <w:rsid w:val="724C4D86"/>
    <w:rsid w:val="72675C56"/>
    <w:rsid w:val="729C5848"/>
    <w:rsid w:val="729D50D4"/>
    <w:rsid w:val="72B22514"/>
    <w:rsid w:val="72C72852"/>
    <w:rsid w:val="72EA310F"/>
    <w:rsid w:val="73724CC1"/>
    <w:rsid w:val="737A24E6"/>
    <w:rsid w:val="738D07F4"/>
    <w:rsid w:val="73EB27D2"/>
    <w:rsid w:val="74084505"/>
    <w:rsid w:val="74473031"/>
    <w:rsid w:val="74B26EB5"/>
    <w:rsid w:val="7565585A"/>
    <w:rsid w:val="759F78C3"/>
    <w:rsid w:val="75D20A3E"/>
    <w:rsid w:val="75FE5760"/>
    <w:rsid w:val="76044D15"/>
    <w:rsid w:val="76180C4D"/>
    <w:rsid w:val="763719BD"/>
    <w:rsid w:val="76695CCA"/>
    <w:rsid w:val="76945DDC"/>
    <w:rsid w:val="76A9719F"/>
    <w:rsid w:val="76AC3D66"/>
    <w:rsid w:val="76AE698A"/>
    <w:rsid w:val="76C8526E"/>
    <w:rsid w:val="76D705D3"/>
    <w:rsid w:val="770E73BB"/>
    <w:rsid w:val="77274519"/>
    <w:rsid w:val="77527322"/>
    <w:rsid w:val="778A5987"/>
    <w:rsid w:val="77C577DB"/>
    <w:rsid w:val="77DB668D"/>
    <w:rsid w:val="780705CB"/>
    <w:rsid w:val="78116000"/>
    <w:rsid w:val="781D4CA3"/>
    <w:rsid w:val="78752E07"/>
    <w:rsid w:val="78A17A3C"/>
    <w:rsid w:val="78BB4A14"/>
    <w:rsid w:val="78BF127F"/>
    <w:rsid w:val="78DB4D17"/>
    <w:rsid w:val="792A38FA"/>
    <w:rsid w:val="79884861"/>
    <w:rsid w:val="79AE4579"/>
    <w:rsid w:val="79C47F69"/>
    <w:rsid w:val="79CA5D4C"/>
    <w:rsid w:val="79CE78DB"/>
    <w:rsid w:val="79ED671C"/>
    <w:rsid w:val="7A2111EE"/>
    <w:rsid w:val="7A2519A5"/>
    <w:rsid w:val="7A3670BD"/>
    <w:rsid w:val="7A6B5423"/>
    <w:rsid w:val="7A89403E"/>
    <w:rsid w:val="7A962618"/>
    <w:rsid w:val="7A972582"/>
    <w:rsid w:val="7ABB2D67"/>
    <w:rsid w:val="7ACF3EA9"/>
    <w:rsid w:val="7AEC35AA"/>
    <w:rsid w:val="7B3058D3"/>
    <w:rsid w:val="7B347798"/>
    <w:rsid w:val="7B406DD5"/>
    <w:rsid w:val="7B971768"/>
    <w:rsid w:val="7B9F1BC3"/>
    <w:rsid w:val="7BB53BD5"/>
    <w:rsid w:val="7BB816DF"/>
    <w:rsid w:val="7BBA2E8B"/>
    <w:rsid w:val="7BBE4566"/>
    <w:rsid w:val="7BD16F4E"/>
    <w:rsid w:val="7BF37E71"/>
    <w:rsid w:val="7C0A3416"/>
    <w:rsid w:val="7C220D62"/>
    <w:rsid w:val="7CA4747A"/>
    <w:rsid w:val="7CE73C3C"/>
    <w:rsid w:val="7D0E61ED"/>
    <w:rsid w:val="7D364B6C"/>
    <w:rsid w:val="7D3B6123"/>
    <w:rsid w:val="7D456A62"/>
    <w:rsid w:val="7D7607F4"/>
    <w:rsid w:val="7DC211C6"/>
    <w:rsid w:val="7E1D1CCD"/>
    <w:rsid w:val="7E283953"/>
    <w:rsid w:val="7E3D39B4"/>
    <w:rsid w:val="7E655B4E"/>
    <w:rsid w:val="7E6C78D6"/>
    <w:rsid w:val="7E8A79E4"/>
    <w:rsid w:val="7EBD6582"/>
    <w:rsid w:val="7EC963BE"/>
    <w:rsid w:val="7ECE57A2"/>
    <w:rsid w:val="7EE84717"/>
    <w:rsid w:val="7F1115AD"/>
    <w:rsid w:val="7F1D2369"/>
    <w:rsid w:val="7F47583B"/>
    <w:rsid w:val="7F567244"/>
    <w:rsid w:val="7F635DF3"/>
    <w:rsid w:val="7F747630"/>
    <w:rsid w:val="7FC44316"/>
    <w:rsid w:val="7FE137A7"/>
    <w:rsid w:val="7FFD37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宋体" w:cs="Times New Roman"/>
      <w:sz w:val="21"/>
      <w:lang w:val="en-US" w:eastAsia="zh-CN" w:bidi="ar-SA"/>
    </w:rPr>
  </w:style>
  <w:style w:type="paragraph" w:styleId="2">
    <w:name w:val="heading 1"/>
    <w:basedOn w:val="1"/>
    <w:next w:val="1"/>
    <w:qFormat/>
    <w:uiPriority w:val="0"/>
    <w:pPr>
      <w:keepNext/>
      <w:keepLines/>
      <w:numPr>
        <w:ilvl w:val="0"/>
        <w:numId w:val="1"/>
      </w:numPr>
      <w:tabs>
        <w:tab w:val="left" w:pos="0"/>
      </w:tabs>
      <w:spacing w:line="360" w:lineRule="auto"/>
      <w:outlineLvl w:val="0"/>
    </w:pPr>
    <w:rPr>
      <w:b/>
      <w:bCs/>
      <w:kern w:val="44"/>
      <w:sz w:val="44"/>
      <w:szCs w:val="44"/>
    </w:rPr>
  </w:style>
  <w:style w:type="paragraph" w:styleId="3">
    <w:name w:val="heading 2"/>
    <w:basedOn w:val="1"/>
    <w:next w:val="4"/>
    <w:qFormat/>
    <w:uiPriority w:val="0"/>
    <w:pPr>
      <w:keepNext/>
      <w:keepLines/>
      <w:numPr>
        <w:ilvl w:val="4"/>
        <w:numId w:val="2"/>
      </w:numPr>
      <w:spacing w:line="360" w:lineRule="auto"/>
      <w:outlineLvl w:val="1"/>
    </w:pPr>
    <w:rPr>
      <w:rFonts w:ascii="Cambria" w:hAnsi="Cambria"/>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style>
  <w:style w:type="paragraph" w:styleId="5">
    <w:name w:val="Document Map"/>
    <w:basedOn w:val="1"/>
    <w:link w:val="26"/>
    <w:qFormat/>
    <w:uiPriority w:val="0"/>
    <w:rPr>
      <w:rFonts w:ascii="宋体"/>
      <w:sz w:val="18"/>
      <w:szCs w:val="18"/>
    </w:rPr>
  </w:style>
  <w:style w:type="paragraph" w:styleId="6">
    <w:name w:val="annotation text"/>
    <w:basedOn w:val="1"/>
    <w:qFormat/>
    <w:uiPriority w:val="0"/>
    <w:pPr>
      <w:jc w:val="left"/>
    </w:pPr>
    <w:rPr>
      <w:sz w:val="20"/>
    </w:rPr>
  </w:style>
  <w:style w:type="paragraph" w:styleId="7">
    <w:name w:val="Body Text Indent"/>
    <w:basedOn w:val="1"/>
    <w:qFormat/>
    <w:uiPriority w:val="0"/>
    <w:pPr>
      <w:spacing w:line="360" w:lineRule="auto"/>
      <w:ind w:left="340"/>
    </w:pPr>
    <w:rPr>
      <w:sz w:val="20"/>
    </w:rPr>
  </w:style>
  <w:style w:type="paragraph" w:styleId="8">
    <w:name w:val="Body Text Indent 2"/>
    <w:qFormat/>
    <w:uiPriority w:val="0"/>
    <w:pPr>
      <w:widowControl w:val="0"/>
      <w:spacing w:line="360" w:lineRule="auto"/>
      <w:ind w:left="1" w:leftChars="1" w:firstLine="300" w:firstLineChars="300"/>
      <w:jc w:val="both"/>
    </w:pPr>
    <w:rPr>
      <w:rFonts w:ascii="Arial" w:hAnsi="Arial" w:eastAsia="宋体" w:cs="Times New Roman"/>
      <w:lang w:val="en-US" w:eastAsia="zh-CN" w:bidi="ar-SA"/>
    </w:rPr>
  </w:style>
  <w:style w:type="paragraph" w:styleId="9">
    <w:name w:val="Balloon Text"/>
    <w:basedOn w:val="1"/>
    <w:link w:val="28"/>
    <w:qFormat/>
    <w:uiPriority w:val="0"/>
    <w:rPr>
      <w:sz w:val="18"/>
      <w:szCs w:val="18"/>
    </w:rPr>
  </w:style>
  <w:style w:type="paragraph" w:styleId="10">
    <w:name w:val="footer"/>
    <w:basedOn w:val="1"/>
    <w:link w:val="29"/>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pPr>
      <w:tabs>
        <w:tab w:val="left" w:pos="840"/>
        <w:tab w:val="right" w:leader="dot" w:pos="9555"/>
      </w:tabs>
      <w:spacing w:line="240" w:lineRule="atLeast"/>
    </w:pPr>
  </w:style>
  <w:style w:type="paragraph" w:styleId="13">
    <w:name w:val="toc 2"/>
    <w:basedOn w:val="1"/>
    <w:next w:val="1"/>
    <w:qFormat/>
    <w:uiPriority w:val="0"/>
    <w:pPr>
      <w:tabs>
        <w:tab w:val="left" w:pos="840"/>
        <w:tab w:val="right" w:leader="dot" w:pos="9555"/>
      </w:tabs>
      <w:spacing w:line="240" w:lineRule="atLeast"/>
      <w:ind w:left="200" w:leftChars="200" w:right="-30" w:rightChars="-30"/>
    </w:pPr>
  </w:style>
  <w:style w:type="paragraph" w:styleId="1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Normal (Web)"/>
    <w:basedOn w:val="1"/>
    <w:qFormat/>
    <w:uiPriority w:val="0"/>
    <w:pPr>
      <w:widowControl/>
      <w:spacing w:before="100" w:beforeAutospacing="1" w:after="100" w:afterAutospacing="1"/>
      <w:jc w:val="left"/>
    </w:pPr>
    <w:rPr>
      <w:rFonts w:ascii="宋体"/>
      <w:color w:val="000000"/>
      <w:sz w:val="24"/>
      <w:szCs w:val="24"/>
    </w:rPr>
  </w:style>
  <w:style w:type="paragraph" w:styleId="16">
    <w:name w:val="annotation subject"/>
    <w:basedOn w:val="6"/>
    <w:next w:val="6"/>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0">
    <w:name w:val="page number"/>
    <w:basedOn w:val="19"/>
    <w:qFormat/>
    <w:uiPriority w:val="0"/>
    <w:rPr>
      <w:rFonts w:cs="Times New Roman"/>
    </w:rPr>
  </w:style>
  <w:style w:type="character" w:styleId="21">
    <w:name w:val="FollowedHyperlink"/>
    <w:basedOn w:val="19"/>
    <w:semiHidden/>
    <w:unhideWhenUsed/>
    <w:qFormat/>
    <w:uiPriority w:val="0"/>
    <w:rPr>
      <w:color w:val="800080" w:themeColor="followedHyperlink"/>
      <w:u w:val="single"/>
    </w:rPr>
  </w:style>
  <w:style w:type="character" w:styleId="22">
    <w:name w:val="Hyperlink"/>
    <w:basedOn w:val="19"/>
    <w:qFormat/>
    <w:uiPriority w:val="0"/>
    <w:rPr>
      <w:rFonts w:cs="Times New Roman"/>
      <w:color w:val="0000FF"/>
      <w:u w:val="single"/>
    </w:rPr>
  </w:style>
  <w:style w:type="character" w:styleId="23">
    <w:name w:val="annotation reference"/>
    <w:basedOn w:val="19"/>
    <w:qFormat/>
    <w:uiPriority w:val="0"/>
    <w:rPr>
      <w:rFonts w:cs="Times New Roman"/>
      <w:sz w:val="21"/>
    </w:rPr>
  </w:style>
  <w:style w:type="character" w:customStyle="1" w:styleId="24">
    <w:name w:val="apple-converted-space"/>
    <w:qFormat/>
    <w:uiPriority w:val="0"/>
  </w:style>
  <w:style w:type="paragraph" w:customStyle="1" w:styleId="25">
    <w:name w:val="列出段落1"/>
    <w:basedOn w:val="1"/>
    <w:qFormat/>
    <w:uiPriority w:val="0"/>
    <w:pPr>
      <w:ind w:firstLine="200" w:firstLineChars="200"/>
    </w:pPr>
  </w:style>
  <w:style w:type="character" w:customStyle="1" w:styleId="26">
    <w:name w:val="文档结构图 字符"/>
    <w:basedOn w:val="19"/>
    <w:link w:val="5"/>
    <w:qFormat/>
    <w:uiPriority w:val="0"/>
    <w:rPr>
      <w:rFonts w:ascii="宋体" w:hAnsi="Arial"/>
      <w:sz w:val="18"/>
      <w:szCs w:val="18"/>
    </w:rPr>
  </w:style>
  <w:style w:type="paragraph" w:customStyle="1" w:styleId="27">
    <w:name w:val="列表段落1"/>
    <w:basedOn w:val="1"/>
    <w:unhideWhenUsed/>
    <w:qFormat/>
    <w:uiPriority w:val="99"/>
    <w:pPr>
      <w:ind w:firstLine="420" w:firstLineChars="200"/>
    </w:pPr>
  </w:style>
  <w:style w:type="character" w:customStyle="1" w:styleId="28">
    <w:name w:val="批注框文本 字符"/>
    <w:basedOn w:val="19"/>
    <w:link w:val="9"/>
    <w:qFormat/>
    <w:uiPriority w:val="0"/>
    <w:rPr>
      <w:rFonts w:ascii="Arial" w:hAnsi="Arial"/>
      <w:sz w:val="18"/>
      <w:szCs w:val="18"/>
    </w:rPr>
  </w:style>
  <w:style w:type="character" w:customStyle="1" w:styleId="29">
    <w:name w:val="页脚 字符"/>
    <w:basedOn w:val="19"/>
    <w:link w:val="10"/>
    <w:qFormat/>
    <w:uiPriority w:val="99"/>
    <w:rPr>
      <w:rFonts w:ascii="Arial" w:hAnsi="Arial"/>
      <w:sz w:val="18"/>
      <w:szCs w:val="18"/>
    </w:rPr>
  </w:style>
  <w:style w:type="paragraph" w:styleId="30">
    <w:name w:val="List Paragraph"/>
    <w:basedOn w:val="1"/>
    <w:qFormat/>
    <w:uiPriority w:val="99"/>
    <w:pPr>
      <w:ind w:firstLine="420" w:firstLineChars="200"/>
    </w:pPr>
  </w:style>
  <w:style w:type="paragraph" w:customStyle="1" w:styleId="31">
    <w:name w:val="修订1"/>
    <w:hidden/>
    <w:semiHidden/>
    <w:qFormat/>
    <w:uiPriority w:val="99"/>
    <w:rPr>
      <w:rFonts w:ascii="Arial" w:hAnsi="Arial" w:eastAsia="宋体" w:cs="Times New Roman"/>
      <w:sz w:val="21"/>
      <w:lang w:val="en-US" w:eastAsia="zh-CN" w:bidi="ar-SA"/>
    </w:rPr>
  </w:style>
  <w:style w:type="paragraph" w:customStyle="1" w:styleId="32">
    <w:name w:val="修订2"/>
    <w:hidden/>
    <w:semiHidden/>
    <w:qFormat/>
    <w:uiPriority w:val="99"/>
    <w:rPr>
      <w:rFonts w:ascii="Arial" w:hAnsi="Arial" w:eastAsia="宋体" w:cs="Times New Roman"/>
      <w:sz w:val="21"/>
      <w:lang w:val="en-US" w:eastAsia="zh-CN" w:bidi="ar-SA"/>
    </w:rPr>
  </w:style>
  <w:style w:type="paragraph" w:customStyle="1" w:styleId="33">
    <w:name w:val="Revision"/>
    <w:hidden/>
    <w:unhideWhenUsed/>
    <w:qFormat/>
    <w:uiPriority w:val="99"/>
    <w:rPr>
      <w:rFonts w:ascii="Arial" w:hAnsi="Arial"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dataSourceCollection xmlns="http://www.yonyou.com/datasource"/>
</file>

<file path=customXml/itemProps1.xml><?xml version="1.0" encoding="utf-8"?>
<ds:datastoreItem xmlns:ds="http://schemas.openxmlformats.org/officeDocument/2006/customXml" ds:itemID="{31EFD04A-53A6-4CFD-9CD7-2ABEBB8822FA}">
  <ds:schemaRefs/>
</ds:datastoreItem>
</file>

<file path=customXml/itemProps2.xml><?xml version="1.0" encoding="utf-8"?>
<ds:datastoreItem xmlns:ds="http://schemas.openxmlformats.org/officeDocument/2006/customXml" ds:itemID="{E12BC588-78EB-4C9F-8D6D-94BCA5CA7F91}">
  <ds:schemaRefs/>
</ds:datastoreItem>
</file>

<file path=customXml/itemProps3.xml><?xml version="1.0" encoding="utf-8"?>
<ds:datastoreItem xmlns:ds="http://schemas.openxmlformats.org/officeDocument/2006/customXml" ds:itemID="{AF3BA145-12CC-4B0A-9312-9C547D8A74E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3229</Words>
  <Characters>3411</Characters>
  <Lines>40</Lines>
  <Paragraphs>11</Paragraphs>
  <TotalTime>2</TotalTime>
  <ScaleCrop>false</ScaleCrop>
  <LinksUpToDate>false</LinksUpToDate>
  <CharactersWithSpaces>3762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2022-10-19T05:24:00Z</dcterms:created>
  <dc:creator>微软用户</dc:creator>
  <cp:lastModifiedBy>ROSE赖嘉欣</cp:lastModifiedBy>
  <cp:lastPrinted>2022-10-20T07:20:00Z</cp:lastPrinted>
  <dcterms:modified xsi:type="dcterms:W3CDTF">2024-09-13T07:33:57Z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0951DF3AD23541068DA23CBD27FD2B6C</vt:lpwstr>
  </property>
</Properties>
</file>